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15pt;width:595.275pt;height:694.488pt;mso-position-horizontal-relative:page;mso-position-vertical-relative:page;z-index:-17099776" filled="true" fillcolor="#f0f0f0" stroked="false">
            <v:fill type="solid"/>
            <w10:wrap type="none"/>
          </v:rect>
        </w:pict>
      </w:r>
      <w:r>
        <w:rPr/>
        <w:pict>
          <v:rect style="position:absolute;margin-left:0pt;margin-top:712.914001pt;width:595.275pt;height:128.976pt;mso-position-horizontal-relative:page;mso-position-vertical-relative:page;z-index:-17099264" filled="true" fillcolor="#ffffff" stroked="false">
            <v:fill type="solid"/>
            <w10:wrap type="none"/>
          </v:rect>
        </w:pict>
      </w:r>
      <w:r>
        <w:rPr/>
        <w:pict>
          <v:rect style="position:absolute;margin-left:0pt;margin-top:694.488037pt;width:595.275pt;height:18.426pt;mso-position-horizontal-relative:page;mso-position-vertical-relative:page;z-index:-17098752" filled="true" fillcolor="#88313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pStyle w:val="BodyText"/>
        <w:ind w:left="66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5pt;height:393.45pt;mso-position-horizontal-relative:char;mso-position-vertical-relative:line" coordorigin="0,0" coordsize="8300,7869">
            <v:rect style="position:absolute;left:33;top:3049;width:8266;height:4820" filled="true" fillcolor="#000000" stroked="false">
              <v:fill opacity="16384f" type="solid"/>
            </v:rect>
            <v:shape style="position:absolute;left:0;top:3023;width:8092;height:4635" coordorigin="0,3024" coordsize="8092,4635" path="m6375,3024l1716,3024,724,3051,215,3238,27,3748,0,4740,0,5941,27,6934,215,7443,724,7631,1716,7658,6375,7658,7367,7631,7877,7443,8065,6934,8092,5941,8092,4740,8065,3748,7877,3238,7367,3051,6375,3024xe" filled="true" fillcolor="#ffffff" stroked="false">
              <v:path arrowok="t"/>
              <v:fill type="solid"/>
            </v:shape>
            <v:shape style="position:absolute;left:4707;top:1204;width:1370;height:2450" type="#_x0000_t75" stroked="false">
              <v:imagedata r:id="rId6" o:title=""/>
            </v:shape>
            <v:shape style="position:absolute;left:4707;top:3645;width:547;height:294" type="#_x0000_t75" stroked="false">
              <v:imagedata r:id="rId7" o:title=""/>
            </v:shape>
            <v:shape style="position:absolute;left:2014;top:0;width:4062;height:4057" coordorigin="2015,0" coordsize="4062,4057" path="m3936,4055l3972,4056,4014,4057,3936,4055xm3927,4055l3931,4055,3936,4055,3931,4055,3927,4055xm3858,4051l3889,4053,3927,4055,3858,4051xm4072,0l3997,1,3922,5,3848,12,3775,21,3702,33,3631,47,3560,64,3490,83,3422,105,3354,129,3288,155,3222,183,3158,214,3095,246,3034,281,2973,318,2915,356,2857,397,2801,439,2747,484,2694,530,2642,578,2593,628,2545,679,2499,732,2454,786,2412,842,2371,900,2332,959,2296,1019,2261,1080,2228,1143,2198,1208,2170,1273,2144,1339,2120,1407,2098,1476,2079,1545,2062,1616,2048,1687,2036,1760,2027,1833,2020,1907,2016,1982,2015,2057,2016,2139,2021,2221,2029,2301,2040,2381,2054,2459,2071,2537,2091,2613,2114,2688,2139,2762,2167,2835,2198,2906,2231,2976,2267,3044,2305,3111,2346,3177,2389,3240,2434,3302,2482,3362,2532,3420,2586,3475,2642,3528,2701,3579,2761,3627,2823,3673,2887,3717,2952,3759,3019,3798,3088,3835,3158,3869,3230,3900,3303,3929,3378,3955,3453,3978,3530,3998,3608,4016,3688,4030,3768,4042,3849,4050,3858,4051,3848,4050,2889,3091,5377,1205,5917,1205,5899,1163,5866,1092,5829,1021,5791,953,5749,886,5706,821,5659,758,5611,696,5560,637,5506,582,5449,529,5390,478,5330,429,5268,383,5204,339,5138,297,5070,258,5001,221,4931,187,4859,156,4785,127,4711,101,4635,78,4557,58,4479,40,4400,26,4319,15,4238,7,4155,2,4072,0xm6076,1950l6076,1960,6076,1971,6077,1992,6076,1971,6076,1960,6076,1950xm6074,1902l6076,1950,6076,1938,6075,1926,6075,1914,6074,1903,6074,1902xm5917,1205l5377,1205,6074,1902,6072,1866,6065,1784,6055,1702,6042,1622,6026,1542,6006,1464,5984,1387,5958,1311,5930,1236,5917,1205xe" filled="true" fillcolor="#dadada" stroked="false">
              <v:path arrowok="t"/>
              <v:fill type="solid"/>
            </v:shape>
            <v:shape style="position:absolute;left:4177;top:2585;width:1815;height:1466" type="#_x0000_t75" stroked="false">
              <v:imagedata r:id="rId8" o:title=""/>
            </v:shape>
            <v:shape style="position:absolute;left:4252;top:1705;width:465;height:2339" type="#_x0000_t75" stroked="false">
              <v:imagedata r:id="rId9" o:title=""/>
            </v:shape>
            <v:shape style="position:absolute;left:3340;top:2050;width:921;height:2007" type="#_x0000_t75" stroked="false">
              <v:imagedata r:id="rId10" o:title=""/>
            </v:shape>
            <v:shape style="position:absolute;left:2889;top:2742;width:461;height:810" type="#_x0000_t75" stroked="false">
              <v:imagedata r:id="rId11" o:title=""/>
            </v:shape>
            <v:shape style="position:absolute;left:2454;top:435;width:3142;height:3142" coordorigin="2455,436" coordsize="3142,3142" path="m4026,436l3950,438,3874,443,3800,452,3727,464,3655,480,3585,499,3515,520,3448,546,3381,574,3317,605,3254,638,3192,675,3133,714,3075,756,3020,800,2966,847,2915,896,2866,947,2819,1001,2775,1056,2733,1114,2694,1173,2657,1234,2624,1297,2593,1362,2565,1429,2540,1496,2518,1566,2499,1636,2483,1708,2471,1781,2462,1855,2457,1931,2455,2007,2457,2083,2462,2158,2471,2232,2483,2305,2499,2377,2518,2448,2540,2517,2565,2585,2593,2651,2624,2716,2657,2779,2694,2840,2733,2900,2775,2957,2819,3013,2866,3066,2915,3117,2966,3166,3020,3213,3075,3257,3133,3299,3192,3338,3254,3375,3317,3409,3381,3440,3448,3468,3515,3493,3585,3515,3655,3534,3727,3549,3800,3561,3874,3570,3950,3576,4026,3577,4102,3576,4177,3570,4251,3561,4324,3549,4396,3534,4467,3515,4536,3493,4604,3468,4670,3440,4735,3409,4798,3375,4859,3338,4919,3299,4976,3257,5032,3213,5085,3166,5136,3117,5186,3066,5232,3013,5276,2957,5318,2900,5357,2840,5394,2779,5428,2716,5459,2651,5487,2585,5512,2517,5534,2448,5553,2377,5568,2305,5580,2232,5589,2158,5595,2083,5597,2007,5595,1931,5589,1855,5580,1781,5568,1708,5553,1636,5534,1566,5512,1496,5487,1429,5459,1362,5428,1297,5394,1234,5357,1173,5318,1114,5276,1056,5232,1001,5186,947,5136,896,5085,847,5032,800,4976,756,4919,714,4859,675,4798,638,4735,605,4670,574,4604,546,4536,520,4467,499,4396,480,4324,464,4251,452,4177,443,4102,438,4026,436xe" filled="true" fillcolor="#ffffff" stroked="false">
              <v:path arrowok="t"/>
              <v:fill type="solid"/>
            </v:shape>
            <v:shape style="position:absolute;left:2494;top:479;width:3102;height:3098" type="#_x0000_t75" stroked="false">
              <v:imagedata r:id="rId12" o:title=""/>
            </v:shape>
            <v:shape style="position:absolute;left:2733;top:1317;width:2864;height:2260" coordorigin="2733,1318" coordsize="2864,2260" path="m5438,1318l5468,1392,5495,1468,5519,1545,5538,1625,5553,1706,5564,1788,5571,1871,5573,1956,5571,2032,5566,2107,5557,2181,5545,2254,5529,2326,5510,2397,5488,2466,5463,2534,5435,2600,5404,2665,5370,2728,5334,2789,5295,2849,5253,2906,5209,2962,5162,3015,5113,3067,5062,3116,5008,3162,4953,3207,4895,3249,4836,3288,4774,3324,4711,3358,4646,3389,4580,3417,4512,3442,4443,3464,4372,3483,4301,3499,4228,3511,4153,3520,4078,3525,4002,3527,3920,3525,3840,3519,3760,3508,3682,3494,3605,3476,3530,3455,3456,3429,3384,3401,3314,3368,3245,3333,3179,3294,3115,3252,3053,3208,2993,3160,2936,3110,2881,3056,2829,3001,2780,2943,2733,2882,2769,2937,2807,2990,2847,3042,2889,3091,2944,3146,3002,3198,3062,3247,3125,3294,3190,3337,3257,3377,3326,3413,3397,3447,3470,3476,3545,3503,3622,3525,3700,3544,3779,3558,3860,3569,3942,3575,4026,3577,4102,3576,4177,3570,4251,3561,4324,3549,4396,3534,4467,3515,4536,3493,4604,3468,4670,3440,4735,3409,4798,3375,4859,3338,4919,3299,4976,3257,5032,3213,5085,3166,5136,3117,5185,3066,5232,3013,5276,2957,5318,2900,5357,2840,5394,2779,5428,2716,5459,2651,5487,2585,5512,2517,5534,2448,5553,2377,5568,2305,5580,2232,5589,2158,5595,2083,5597,2007,5594,1925,5588,1844,5578,1764,5564,1686,5546,1609,5524,1534,5499,1460,5470,1388,5438,1318xe" filled="true" fillcolor="#ecedee" stroked="false">
              <v:path arrowok="t"/>
              <v:fill type="solid"/>
            </v:shape>
            <v:shape style="position:absolute;left:3053;top:1247;width:1985;height:1563" coordorigin="3054,1247" coordsize="1985,1563" path="m3490,1407l3489,1398,3488,1390,3474,1342,3446,1301,3407,1269,3360,1251,3338,1247,3330,1247,3326,1248,3322,1247,3318,1248,3215,1248,3212,1247,3210,1248,3208,1247,3205,1247,3199,1248,3193,1248,3172,1253,3157,1258,3143,1264,3130,1272,3097,1299,3074,1331,3059,1368,3054,1411,3054,2642,3054,2646,3054,2648,3055,2660,3056,2666,3074,2722,3110,2768,3159,2798,3217,2810,3327,2810,3337,2809,3347,2808,3357,2806,3367,2804,3417,2781,3456,2744,3481,2697,3490,2642,3490,1407xm4356,1936l4356,1414,4355,1400,4354,1393,4340,1343,4312,1301,4273,1270,4225,1251,4218,1249,4202,1247,4200,1248,4198,1247,4195,1248,3896,1248,3894,1247,3892,1248,3889,1247,3888,1247,3888,1248,3887,1248,3877,1249,3868,1250,3859,1253,3809,1275,3770,1312,3745,1359,3736,1413,3736,1932,3736,1936,3736,1937,3746,1937,3752,1937,4355,1937,4356,1936xm4356,2121l4355,2120,4340,2120,4329,2119,4046,2119,4046,2120,3737,2120,3736,2120,3736,2653,3737,2662,3738,2672,3758,2727,3795,2771,3844,2799,3901,2810,4190,2810,4201,2809,4211,2808,4222,2807,4232,2804,4283,2781,4321,2745,4347,2698,4356,2643,4356,2126,4356,2121xm5038,2646l5038,2644,5038,1396,5037,1388,5029,1357,5016,1328,4997,1303,4974,1281,4957,1269,4940,1260,4921,1253,4902,1249,4896,1248,4890,1248,4884,1247,4882,1248,4879,1247,4877,1248,4773,1248,4769,1247,4765,1248,4761,1247,4753,1247,4753,1248,4751,1248,4736,1250,4729,1252,4677,1274,4637,1311,4611,1359,4602,1415,4602,2650,4602,2658,4604,2666,4622,2722,4657,2768,4706,2798,4764,2809,4820,2810,4875,2809,4905,2806,4933,2798,4960,2785,4984,2766,5006,2741,5023,2713,5033,2682,5037,2648,5038,2646xe" filled="true" fillcolor="#88313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8300;height:78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66"/>
                      </w:rPr>
                    </w:pPr>
                  </w:p>
                  <w:p>
                    <w:pPr>
                      <w:spacing w:before="0"/>
                      <w:ind w:left="773" w:right="1177" w:firstLine="0"/>
                      <w:jc w:val="center"/>
                      <w:rPr>
                        <w:rFonts w:ascii="Roboto" w:hAnsi="Roboto"/>
                        <w:b w:val="0"/>
                        <w:sz w:val="44"/>
                      </w:rPr>
                    </w:pPr>
                    <w:r>
                      <w:rPr>
                        <w:rFonts w:ascii="Roboto" w:hAnsi="Roboto"/>
                        <w:b w:val="0"/>
                        <w:color w:val="575756"/>
                        <w:sz w:val="44"/>
                      </w:rPr>
                      <w:t>DEMONSTRAÇÕES CONTÁBEIS</w:t>
                    </w:r>
                  </w:p>
                  <w:p>
                    <w:pPr>
                      <w:spacing w:before="321"/>
                      <w:ind w:left="773" w:right="1173" w:firstLine="0"/>
                      <w:jc w:val="center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rFonts w:ascii="Arial" w:hAnsi="Arial"/>
                        <w:color w:val="575756"/>
                        <w:sz w:val="38"/>
                      </w:rPr>
                      <w:t>EXERCÍCIO FINDO EM</w:t>
                    </w:r>
                    <w:r>
                      <w:rPr>
                        <w:rFonts w:ascii="Arial" w:hAnsi="Arial"/>
                        <w:color w:val="575756"/>
                        <w:spacing w:val="-80"/>
                        <w:sz w:val="38"/>
                      </w:rPr>
                      <w:t> </w:t>
                    </w:r>
                    <w:r>
                      <w:rPr>
                        <w:rFonts w:ascii="Arial" w:hAnsi="Arial"/>
                        <w:color w:val="575756"/>
                        <w:sz w:val="38"/>
                      </w:rPr>
                      <w:t>2019</w:t>
                    </w:r>
                  </w:p>
                  <w:p>
                    <w:pPr>
                      <w:spacing w:line="218" w:lineRule="auto" w:before="354"/>
                      <w:ind w:left="741" w:right="1144" w:hanging="2"/>
                      <w:jc w:val="center"/>
                      <w:rPr>
                        <w:rFonts w:ascii="Roboto"/>
                        <w:b w:val="0"/>
                        <w:sz w:val="38"/>
                      </w:rPr>
                    </w:pPr>
                    <w:r>
                      <w:rPr>
                        <w:rFonts w:ascii="Roboto"/>
                        <w:b w:val="0"/>
                        <w:color w:val="575756"/>
                        <w:sz w:val="38"/>
                      </w:rPr>
                      <w:t>EMPRESA BRASILEIRA DE HEMODERIVADOS</w:t>
                    </w:r>
                    <w:r>
                      <w:rPr>
                        <w:rFonts w:ascii="Roboto"/>
                        <w:b w:val="0"/>
                        <w:color w:val="575756"/>
                        <w:spacing w:val="-54"/>
                        <w:sz w:val="38"/>
                      </w:rPr>
                      <w:t> </w:t>
                    </w:r>
                    <w:r>
                      <w:rPr>
                        <w:rFonts w:ascii="Roboto"/>
                        <w:b w:val="0"/>
                        <w:color w:val="575756"/>
                        <w:sz w:val="38"/>
                      </w:rPr>
                      <w:t>E</w:t>
                    </w:r>
                    <w:r>
                      <w:rPr>
                        <w:rFonts w:ascii="Roboto"/>
                        <w:b w:val="0"/>
                        <w:color w:val="575756"/>
                        <w:spacing w:val="-53"/>
                        <w:sz w:val="38"/>
                      </w:rPr>
                      <w:t> </w:t>
                    </w:r>
                    <w:r>
                      <w:rPr>
                        <w:rFonts w:ascii="Roboto"/>
                        <w:b w:val="0"/>
                        <w:color w:val="575756"/>
                        <w:sz w:val="38"/>
                      </w:rPr>
                      <w:t>BIOTECNOLOGIA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  <w:r>
        <w:rPr/>
        <w:pict>
          <v:shape style="position:absolute;margin-left:222.992004pt;margin-top:12.268899pt;width:5.8pt;height:21.6pt;mso-position-horizontal-relative:page;mso-position-vertical-relative:paragraph;z-index:-15727616;mso-wrap-distance-left:0;mso-wrap-distance-right:0" coordorigin="4460,245" coordsize="116,432" path="m4530,245l4505,245,4488,249,4473,259,4464,273,4460,291,4460,632,4464,650,4473,664,4488,674,4505,677,4530,677,4547,674,4562,664,4572,649,4575,632,4575,291,4572,273,4562,259,4547,249,4530,245xe" filled="true" fillcolor="#88313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2.414001pt;margin-top:12.268899pt;width:8.35pt;height:21.6pt;mso-position-horizontal-relative:page;mso-position-vertical-relative:paragraph;z-index:-15727104;mso-wrap-distance-left:0;mso-wrap-distance-right:0" coordorigin="4648,245" coordsize="167,432">
            <v:shape style="position:absolute;left:4648;top:245;width:167;height:191" type="#_x0000_t75" stroked="false">
              <v:imagedata r:id="rId13" o:title=""/>
            </v:shape>
            <v:shape style="position:absolute;left:4648;top:486;width:167;height:191" type="#_x0000_t75" stroked="false">
              <v:imagedata r:id="rId14" o:title=""/>
            </v:shape>
            <w10:wrap type="topAndBottom"/>
          </v:group>
        </w:pict>
      </w:r>
      <w:r>
        <w:rPr/>
        <w:pict>
          <v:shape style="position:absolute;margin-left:244.380997pt;margin-top:12.268899pt;width:5.8pt;height:21.6pt;mso-position-horizontal-relative:page;mso-position-vertical-relative:paragraph;z-index:-15726592;mso-wrap-distance-left:0;mso-wrap-distance-right:0" coordorigin="4888,245" coordsize="116,432" path="m4957,245l4933,245,4916,249,4901,259,4891,273,4888,291,4888,632,4891,649,4901,664,4916,674,4933,677,4957,677,4975,674,4990,664,4999,649,5003,632,5003,291,4999,273,4990,259,4975,249,4957,245xe" filled="true" fillcolor="#aa9a9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5.501007pt;margin-top:12.237599pt;width:116.8pt;height:21.9pt;mso-position-horizontal-relative:page;mso-position-vertical-relative:paragraph;z-index:-15726080;mso-wrap-distance-left:0;mso-wrap-distance-right:0" coordorigin="5110,245" coordsize="2336,438">
            <v:shape style="position:absolute;left:5110;top:245;width:1341;height:436" coordorigin="5110,245" coordsize="1341,436" path="m5417,245l5343,245,5343,411,5184,411,5184,245,5110,245,5110,411,5110,485,5110,675,5184,675,5184,485,5343,485,5343,675,5417,675,5417,485,5417,411,5417,245xm5724,541l5719,513,5713,486,5701,468,5683,441,5651,420,5651,513,5517,513,5528,495,5543,481,5562,471,5584,468,5605,471,5625,481,5640,495,5651,513,5651,420,5639,411,5584,400,5529,411,5485,441,5454,486,5443,541,5454,595,5485,640,5529,670,5584,681,5626,675,5663,657,5693,629,5702,613,5714,593,5634,593,5623,602,5611,608,5598,612,5584,613,5562,610,5542,600,5526,585,5516,566,5565,566,5565,566,5722,566,5724,557,5724,549,5724,541xm6148,674l6147,514,6138,469,6112,431,6075,406,6029,397,6006,399,5985,406,5965,416,5948,429,5931,416,5911,406,5890,400,5867,398,5822,407,5784,432,5759,469,5749,515,5749,675,5824,675,5824,515,5827,498,5837,484,5851,475,5867,472,5884,475,5897,484,5907,497,5911,515,5911,674,5986,674,5985,513,5990,497,5999,484,6013,475,6029,472,6046,475,6059,484,6069,498,6073,514,6072,674,6148,674xm6451,537l6440,482,6428,464,6410,437,6383,419,6383,537,6377,565,6362,588,6338,604,6310,609,6282,604,6259,588,6243,565,6238,537,6243,508,6259,485,6282,470,6310,464,6338,470,6362,485,6377,508,6383,537,6383,419,6365,407,6310,396,6255,407,6211,437,6181,482,6170,537,6181,591,6211,636,6255,666,6310,677,6365,666,6410,636,6428,609,6440,591,6451,537xe" filled="true" fillcolor="#883130" stroked="false">
              <v:path arrowok="t"/>
              <v:fill type="solid"/>
            </v:shape>
            <v:shape style="position:absolute;left:6778;top:397;width:119;height:277" type="#_x0000_t75" stroked="false">
              <v:imagedata r:id="rId15" o:title=""/>
            </v:shape>
            <v:shape style="position:absolute;left:6472;top:244;width:685;height:437" coordorigin="6473,245" coordsize="685,437" path="m6754,541l6743,486,6731,468,6713,441,6686,423,6686,541,6681,569,6665,592,6642,608,6614,613,6586,608,6562,592,6547,569,6541,541,6542,535,6547,512,6562,489,6586,474,6614,468,6642,474,6665,489,6681,512,6686,541,6686,423,6677,417,6668,411,6614,400,6596,401,6579,405,6562,410,6547,417,6547,245,6473,245,6473,536,6474,535,6473,537,6473,539,6473,541,6484,595,6514,640,6559,670,6614,681,6668,670,6713,640,6731,613,6743,595,6754,541xm7157,316l7089,316,7051,375,7098,374,7157,316xe" filled="true" fillcolor="#883130" stroked="false">
              <v:path arrowok="t"/>
              <v:fill type="solid"/>
            </v:shape>
            <v:shape style="position:absolute;left:7223;top:399;width:222;height:284" type="#_x0000_t75" stroked="false">
              <v:imagedata r:id="rId16" o:title=""/>
            </v:shape>
            <v:shape style="position:absolute;left:6912;top:399;width:282;height:282" type="#_x0000_t75" stroked="false">
              <v:imagedata r:id="rId17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5"/>
          <w:type w:val="continuous"/>
          <w:pgSz w:w="11910" w:h="16840"/>
          <w:pgMar w:header="0" w:top="1580" w:bottom="0" w:left="1240" w:right="1340"/>
        </w:sectPr>
      </w:pPr>
    </w:p>
    <w:p>
      <w:pPr>
        <w:pStyle w:val="Heading1"/>
        <w:spacing w:line="277" w:lineRule="exact" w:before="54"/>
        <w:ind w:left="177" w:firstLine="0"/>
        <w:rPr>
          <w:b w:val="0"/>
        </w:rPr>
      </w:pPr>
      <w:r>
        <w:rPr>
          <w:b w:val="0"/>
          <w:color w:val="873130"/>
        </w:rPr>
        <w:t>RELATO INTEGRADO 2019</w:t>
      </w:r>
    </w:p>
    <w:p>
      <w:pPr>
        <w:spacing w:line="277" w:lineRule="exact" w:before="0"/>
        <w:ind w:left="177" w:right="0" w:firstLine="0"/>
        <w:jc w:val="left"/>
        <w:rPr>
          <w:rFonts w:ascii="Roboto" w:hAnsi="Roboto"/>
          <w:b w:val="0"/>
          <w:sz w:val="22"/>
        </w:rPr>
      </w:pPr>
      <w:r>
        <w:rPr>
          <w:rFonts w:ascii="Roboto" w:hAnsi="Roboto"/>
          <w:b w:val="0"/>
          <w:sz w:val="22"/>
        </w:rPr>
        <w:t>Empresa Brasileira de Hemoderivados e Biotecnologia – Hemobrás</w:t>
      </w:r>
    </w:p>
    <w:p>
      <w:pPr>
        <w:pStyle w:val="BodyText"/>
        <w:spacing w:before="11"/>
        <w:rPr>
          <w:rFonts w:ascii="Roboto"/>
          <w:b w:val="0"/>
          <w:sz w:val="27"/>
        </w:rPr>
      </w:pPr>
    </w:p>
    <w:p>
      <w:pPr>
        <w:spacing w:before="0"/>
        <w:ind w:left="180" w:right="0" w:firstLine="0"/>
        <w:jc w:val="left"/>
        <w:rPr>
          <w:rFonts w:ascii="Roboto" w:hAnsi="Roboto"/>
          <w:b w:val="0"/>
          <w:sz w:val="20"/>
        </w:rPr>
      </w:pPr>
      <w:r>
        <w:rPr>
          <w:rFonts w:ascii="Roboto" w:hAnsi="Roboto"/>
          <w:b w:val="0"/>
          <w:color w:val="873130"/>
          <w:sz w:val="20"/>
        </w:rPr>
        <w:t>DIRETORIA EXECUTIVA – DE</w:t>
      </w:r>
    </w:p>
    <w:p>
      <w:pPr>
        <w:spacing w:before="55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Presidência (PR) e Diretoria de Desenvolvimento Industrial (DDI)</w:t>
      </w:r>
    </w:p>
    <w:p>
      <w:pPr>
        <w:spacing w:before="8"/>
        <w:ind w:left="177" w:right="0" w:firstLine="0"/>
        <w:jc w:val="left"/>
        <w:rPr>
          <w:sz w:val="20"/>
        </w:rPr>
      </w:pPr>
      <w:r>
        <w:rPr>
          <w:sz w:val="20"/>
        </w:rPr>
        <w:t>Oswaldo Cordeiro de Paschoal Castilho</w:t>
      </w:r>
    </w:p>
    <w:p>
      <w:pPr>
        <w:spacing w:before="115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Diretoria de Produtos Estratégicos e Inovação (DPEI)</w:t>
      </w:r>
    </w:p>
    <w:p>
      <w:pPr>
        <w:spacing w:before="8"/>
        <w:ind w:left="177" w:right="0" w:firstLine="0"/>
        <w:jc w:val="left"/>
        <w:rPr>
          <w:sz w:val="20"/>
        </w:rPr>
      </w:pPr>
      <w:r>
        <w:rPr>
          <w:sz w:val="20"/>
        </w:rPr>
        <w:t>Antônio Edson de Lucena</w:t>
      </w:r>
    </w:p>
    <w:p>
      <w:pPr>
        <w:spacing w:before="116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Diretoria de Administração e Finanças (DAF)</w:t>
      </w:r>
    </w:p>
    <w:p>
      <w:pPr>
        <w:spacing w:before="7"/>
        <w:ind w:left="177" w:right="0" w:firstLine="0"/>
        <w:jc w:val="left"/>
        <w:rPr>
          <w:sz w:val="20"/>
        </w:rPr>
      </w:pPr>
      <w:r>
        <w:rPr>
          <w:sz w:val="20"/>
        </w:rPr>
        <w:t>Marcos Arraes de Alencar</w:t>
      </w:r>
    </w:p>
    <w:p>
      <w:pPr>
        <w:pStyle w:val="BodyText"/>
        <w:spacing w:before="5"/>
        <w:rPr>
          <w:sz w:val="31"/>
        </w:rPr>
      </w:pPr>
    </w:p>
    <w:p>
      <w:pPr>
        <w:spacing w:before="1"/>
        <w:ind w:left="180" w:right="0" w:firstLine="0"/>
        <w:jc w:val="left"/>
        <w:rPr>
          <w:rFonts w:ascii="Roboto" w:hAnsi="Roboto"/>
          <w:b w:val="0"/>
          <w:sz w:val="20"/>
        </w:rPr>
      </w:pPr>
      <w:r>
        <w:rPr>
          <w:rFonts w:ascii="Roboto" w:hAnsi="Roboto"/>
          <w:b w:val="0"/>
          <w:color w:val="873130"/>
          <w:sz w:val="20"/>
        </w:rPr>
        <w:t>CONSELHO DE ADMINISTRAÇÃO – CADM</w:t>
      </w:r>
    </w:p>
    <w:p>
      <w:pPr>
        <w:spacing w:before="52"/>
        <w:ind w:left="177" w:right="0" w:firstLine="0"/>
        <w:jc w:val="left"/>
        <w:rPr>
          <w:sz w:val="20"/>
        </w:rPr>
      </w:pPr>
      <w:r>
        <w:rPr>
          <w:sz w:val="20"/>
        </w:rPr>
        <w:t>Alex Machado Campos</w:t>
      </w:r>
    </w:p>
    <w:p>
      <w:pPr>
        <w:spacing w:before="2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Ministério da Saúde</w:t>
      </w:r>
    </w:p>
    <w:p>
      <w:pPr>
        <w:spacing w:before="121"/>
        <w:ind w:left="177" w:right="0" w:firstLine="0"/>
        <w:jc w:val="left"/>
        <w:rPr>
          <w:sz w:val="20"/>
        </w:rPr>
      </w:pPr>
      <w:r>
        <w:rPr>
          <w:sz w:val="20"/>
        </w:rPr>
        <w:t>André Guimarães Resende Martins do Valle</w:t>
      </w:r>
    </w:p>
    <w:p>
      <w:pPr>
        <w:spacing w:before="3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Ministério da Economia</w:t>
      </w:r>
    </w:p>
    <w:p>
      <w:pPr>
        <w:spacing w:before="121"/>
        <w:ind w:left="177" w:right="0" w:firstLine="0"/>
        <w:jc w:val="left"/>
        <w:rPr>
          <w:sz w:val="20"/>
        </w:rPr>
      </w:pPr>
      <w:r>
        <w:rPr>
          <w:sz w:val="20"/>
        </w:rPr>
        <w:t>Elton da Silva Chaves</w:t>
      </w:r>
    </w:p>
    <w:p>
      <w:pPr>
        <w:spacing w:line="249" w:lineRule="auto" w:before="2"/>
        <w:ind w:left="177" w:right="2795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Conselho Nacional dos Secretários Munici- pais de Saúde (CONASEMS)</w:t>
      </w:r>
    </w:p>
    <w:p>
      <w:pPr>
        <w:spacing w:before="113"/>
        <w:ind w:left="177" w:right="0" w:firstLine="0"/>
        <w:jc w:val="left"/>
        <w:rPr>
          <w:sz w:val="20"/>
        </w:rPr>
      </w:pPr>
      <w:r>
        <w:rPr>
          <w:sz w:val="20"/>
        </w:rPr>
        <w:t>Erno Harzheim</w:t>
      </w:r>
    </w:p>
    <w:p>
      <w:pPr>
        <w:spacing w:before="2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Ministério da Saúde</w:t>
      </w:r>
    </w:p>
    <w:p>
      <w:pPr>
        <w:spacing w:before="64"/>
        <w:ind w:left="177" w:right="0" w:firstLine="0"/>
        <w:jc w:val="left"/>
        <w:rPr>
          <w:sz w:val="20"/>
        </w:rPr>
      </w:pPr>
      <w:r>
        <w:rPr>
          <w:sz w:val="20"/>
        </w:rPr>
        <w:t>Frederico Nicolas Antonino de Souza</w:t>
      </w:r>
    </w:p>
    <w:p>
      <w:pPr>
        <w:spacing w:before="3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Corpo Funcional da Hemobrás</w:t>
      </w:r>
    </w:p>
    <w:p>
      <w:pPr>
        <w:spacing w:before="121"/>
        <w:ind w:left="177" w:right="0" w:firstLine="0"/>
        <w:jc w:val="left"/>
        <w:rPr>
          <w:sz w:val="20"/>
        </w:rPr>
      </w:pPr>
      <w:r>
        <w:rPr>
          <w:sz w:val="20"/>
        </w:rPr>
        <w:t>Lenir Santos</w:t>
      </w:r>
    </w:p>
    <w:p>
      <w:pPr>
        <w:spacing w:before="2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Ministério da Saúde (Presidente do Conselho)</w:t>
      </w:r>
    </w:p>
    <w:p>
      <w:pPr>
        <w:spacing w:before="121"/>
        <w:ind w:left="177" w:right="0" w:firstLine="0"/>
        <w:jc w:val="left"/>
        <w:rPr>
          <w:sz w:val="20"/>
        </w:rPr>
      </w:pPr>
      <w:r>
        <w:rPr>
          <w:sz w:val="20"/>
        </w:rPr>
        <w:t>Leonardo Moura Vilela</w:t>
      </w:r>
    </w:p>
    <w:p>
      <w:pPr>
        <w:spacing w:line="249" w:lineRule="auto" w:before="2"/>
        <w:ind w:left="177" w:right="2795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Conselho Nacional de Secretários de Saúde (CONASS)</w:t>
      </w:r>
    </w:p>
    <w:p>
      <w:pPr>
        <w:spacing w:before="113"/>
        <w:ind w:left="177" w:right="0" w:firstLine="0"/>
        <w:jc w:val="left"/>
        <w:rPr>
          <w:sz w:val="20"/>
        </w:rPr>
      </w:pPr>
      <w:r>
        <w:rPr>
          <w:sz w:val="20"/>
        </w:rPr>
        <w:t>Luiz Alberto de Almeida Palmeira</w:t>
      </w:r>
    </w:p>
    <w:p>
      <w:pPr>
        <w:spacing w:before="2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Ministério da Economia</w:t>
      </w:r>
    </w:p>
    <w:p>
      <w:pPr>
        <w:spacing w:before="121"/>
        <w:ind w:left="177" w:right="0" w:firstLine="0"/>
        <w:jc w:val="left"/>
        <w:rPr>
          <w:sz w:val="20"/>
        </w:rPr>
      </w:pPr>
      <w:r>
        <w:rPr>
          <w:sz w:val="20"/>
        </w:rPr>
        <w:t>Oswaldo Cordeiro de Paschoal Castilho</w:t>
      </w:r>
    </w:p>
    <w:p>
      <w:pPr>
        <w:spacing w:before="3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da Hemobrás</w:t>
      </w:r>
    </w:p>
    <w:p>
      <w:pPr>
        <w:spacing w:before="121"/>
        <w:ind w:left="177" w:right="0" w:firstLine="0"/>
        <w:jc w:val="left"/>
        <w:rPr>
          <w:sz w:val="20"/>
        </w:rPr>
      </w:pPr>
      <w:r>
        <w:rPr>
          <w:sz w:val="20"/>
        </w:rPr>
        <w:t>Pedro Canisio Binsfeld</w:t>
      </w:r>
    </w:p>
    <w:p>
      <w:pPr>
        <w:spacing w:before="2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Ministério da Saúde/SINASAN</w:t>
      </w:r>
    </w:p>
    <w:p>
      <w:pPr>
        <w:pStyle w:val="BodyText"/>
        <w:rPr>
          <w:rFonts w:ascii="Arial"/>
          <w:sz w:val="22"/>
        </w:rPr>
      </w:pPr>
    </w:p>
    <w:p>
      <w:pPr>
        <w:spacing w:before="132"/>
        <w:ind w:left="177" w:right="0" w:firstLine="0"/>
        <w:jc w:val="left"/>
        <w:rPr>
          <w:rFonts w:ascii="Roboto" w:hAnsi="Roboto"/>
          <w:b w:val="0"/>
          <w:sz w:val="20"/>
        </w:rPr>
      </w:pPr>
      <w:r>
        <w:rPr>
          <w:rFonts w:ascii="Roboto" w:hAnsi="Roboto"/>
          <w:b w:val="0"/>
          <w:color w:val="873130"/>
          <w:sz w:val="20"/>
        </w:rPr>
        <w:t>CONSELHO FISCAL – CF</w:t>
      </w:r>
    </w:p>
    <w:p>
      <w:pPr>
        <w:spacing w:before="52"/>
        <w:ind w:left="177" w:right="0" w:firstLine="0"/>
        <w:jc w:val="left"/>
        <w:rPr>
          <w:sz w:val="20"/>
        </w:rPr>
      </w:pPr>
      <w:r>
        <w:rPr>
          <w:sz w:val="20"/>
        </w:rPr>
        <w:t>Antonio Carlos Rosa de Oliveira Junior</w:t>
      </w:r>
      <w:r>
        <w:rPr>
          <w:spacing w:val="-15"/>
          <w:sz w:val="20"/>
        </w:rPr>
        <w:t> </w:t>
      </w:r>
      <w:r>
        <w:rPr>
          <w:sz w:val="20"/>
        </w:rPr>
        <w:t>(Titular)</w:t>
      </w:r>
    </w:p>
    <w:p>
      <w:pPr>
        <w:spacing w:before="3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Ministério da</w:t>
      </w:r>
      <w:r>
        <w:rPr>
          <w:rFonts w:ascii="Arial" w:hAnsi="Arial"/>
          <w:spacing w:val="18"/>
          <w:sz w:val="20"/>
        </w:rPr>
        <w:t> </w:t>
      </w:r>
      <w:r>
        <w:rPr>
          <w:rFonts w:ascii="Arial" w:hAnsi="Arial"/>
          <w:sz w:val="20"/>
        </w:rPr>
        <w:t>Saúde</w:t>
      </w:r>
    </w:p>
    <w:p>
      <w:pPr>
        <w:spacing w:before="64"/>
        <w:ind w:left="177" w:right="0" w:firstLine="0"/>
        <w:jc w:val="left"/>
        <w:rPr>
          <w:sz w:val="20"/>
        </w:rPr>
      </w:pPr>
      <w:r>
        <w:rPr>
          <w:sz w:val="20"/>
        </w:rPr>
        <w:t>Flavia Filippi Giannetti (Presidente)</w:t>
      </w:r>
    </w:p>
    <w:p>
      <w:pPr>
        <w:spacing w:before="2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Tesouro Nacional (Ministério da Economia)</w:t>
      </w:r>
    </w:p>
    <w:p>
      <w:pPr>
        <w:spacing w:before="65"/>
        <w:ind w:left="177" w:right="0" w:firstLine="0"/>
        <w:jc w:val="left"/>
        <w:rPr>
          <w:sz w:val="20"/>
        </w:rPr>
      </w:pPr>
      <w:r>
        <w:rPr>
          <w:sz w:val="20"/>
        </w:rPr>
        <w:t>Jean Keiji Uema (Titular)</w:t>
      </w:r>
    </w:p>
    <w:p>
      <w:pPr>
        <w:spacing w:before="2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Ministério da Saúde</w:t>
      </w:r>
    </w:p>
    <w:p>
      <w:pPr>
        <w:spacing w:before="121"/>
        <w:ind w:left="177" w:right="0" w:firstLine="0"/>
        <w:jc w:val="left"/>
        <w:rPr>
          <w:sz w:val="20"/>
        </w:rPr>
      </w:pPr>
      <w:r>
        <w:rPr>
          <w:sz w:val="20"/>
        </w:rPr>
        <w:t>Luiz Alberto marques Vieira Filho (Suplente)</w:t>
      </w:r>
    </w:p>
    <w:p>
      <w:pPr>
        <w:spacing w:before="2"/>
        <w:ind w:left="17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Membro representante do Tesouro Nacional (Ministério da Economia)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8"/>
        </w:rPr>
      </w:pPr>
      <w:r>
        <w:rPr/>
        <w:pict>
          <v:shape style="position:absolute;margin-left:222.992004pt;margin-top:12.555652pt;width:5.8pt;height:21.6pt;mso-position-horizontal-relative:page;mso-position-vertical-relative:paragraph;z-index:-15724032;mso-wrap-distance-left:0;mso-wrap-distance-right:0" coordorigin="4460,251" coordsize="116,432" path="m4530,251l4505,251,4488,255,4473,264,4464,279,4460,296,4460,638,4464,655,4473,670,4488,679,4505,683,4530,683,4547,679,4562,670,4572,655,4575,637,4575,297,4572,279,4562,264,4547,255,4530,251xe" filled="true" fillcolor="#88313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2.414001pt;margin-top:12.555552pt;width:8.35pt;height:21.6pt;mso-position-horizontal-relative:page;mso-position-vertical-relative:paragraph;z-index:-15723520;mso-wrap-distance-left:0;mso-wrap-distance-right:0" coordorigin="4648,251" coordsize="167,432">
            <v:shape style="position:absolute;left:4648;top:251;width:167;height:191" type="#_x0000_t75" stroked="false">
              <v:imagedata r:id="rId13" o:title=""/>
            </v:shape>
            <v:shape style="position:absolute;left:4648;top:492;width:167;height:191" type="#_x0000_t75" stroked="false">
              <v:imagedata r:id="rId14" o:title=""/>
            </v:shape>
            <w10:wrap type="topAndBottom"/>
          </v:group>
        </w:pict>
      </w:r>
      <w:r>
        <w:rPr/>
        <w:pict>
          <v:shape style="position:absolute;margin-left:244.380997pt;margin-top:12.555652pt;width:5.8pt;height:21.6pt;mso-position-horizontal-relative:page;mso-position-vertical-relative:paragraph;z-index:-15723008;mso-wrap-distance-left:0;mso-wrap-distance-right:0" coordorigin="4888,251" coordsize="116,432" path="m4957,251l4933,251,4916,255,4901,264,4891,279,4888,297,4888,637,4891,655,4901,670,4916,679,4933,683,4957,683,4975,679,4990,670,4999,655,5003,637,5003,297,4999,279,4990,264,4975,255,4957,251xe" filled="true" fillcolor="#aa9a9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5.501007pt;margin-top:12.524351pt;width:116.8pt;height:21.9pt;mso-position-horizontal-relative:page;mso-position-vertical-relative:paragraph;z-index:-15722496;mso-wrap-distance-left:0;mso-wrap-distance-right:0" coordorigin="5110,250" coordsize="2336,438">
            <v:shape style="position:absolute;left:5110;top:251;width:1341;height:436" coordorigin="5110,251" coordsize="1341,436" path="m5417,251l5343,251,5343,417,5184,417,5184,251,5110,251,5110,417,5110,491,5110,681,5184,681,5184,491,5343,491,5343,681,5417,681,5417,491,5417,417,5417,251xm5724,546l5719,518,5713,492,5701,474,5683,447,5651,425,5651,518,5517,518,5528,500,5543,486,5562,477,5584,474,5605,477,5625,486,5640,500,5651,518,5651,425,5639,417,5584,406,5529,417,5485,447,5454,492,5443,546,5454,601,5485,646,5529,676,5584,687,5626,681,5663,662,5693,635,5702,619,5714,599,5634,599,5623,607,5611,614,5598,618,5584,619,5562,616,5542,606,5526,591,5516,572,5565,572,5565,571,5722,571,5724,563,5724,555,5724,546xm6148,680l6147,520,6138,474,6112,437,6075,412,6029,403,6006,405,5985,412,5965,422,5948,435,5931,422,5911,412,5890,406,5867,403,5822,413,5784,438,5759,475,5749,520,5749,681,5824,681,5824,520,5827,504,5837,490,5851,481,5867,478,5884,481,5897,490,5907,503,5911,521,5911,680,5986,680,5985,519,5990,502,5999,489,6013,481,6029,477,6046,481,6059,490,6069,503,6073,520,6072,680,6148,680xm6451,542l6440,488,6428,470,6410,443,6383,425,6383,542,6377,571,6362,594,6338,609,6310,615,6282,609,6259,594,6243,571,6238,542,6243,514,6259,491,6282,476,6310,470,6338,476,6362,491,6377,514,6383,542,6383,425,6365,413,6310,402,6255,413,6211,443,6181,488,6170,542,6181,597,6211,642,6255,672,6310,683,6365,672,6410,642,6428,615,6440,597,6451,542xe" filled="true" fillcolor="#883130" stroked="false">
              <v:path arrowok="t"/>
              <v:fill type="solid"/>
            </v:shape>
            <v:shape style="position:absolute;left:6778;top:403;width:119;height:277" type="#_x0000_t75" stroked="false">
              <v:imagedata r:id="rId15" o:title=""/>
            </v:shape>
            <v:shape style="position:absolute;left:6472;top:250;width:685;height:437" coordorigin="6473,251" coordsize="685,437" path="m6754,546l6743,492,6731,474,6713,447,6686,429,6686,546,6681,575,6665,598,6642,613,6614,619,6586,613,6562,598,6547,575,6541,546,6542,541,6547,518,6562,495,6586,480,6614,474,6642,480,6665,495,6681,518,6686,546,6686,429,6677,423,6668,417,6614,406,6596,407,6579,410,6562,416,6547,423,6547,251,6473,251,6473,542,6474,541,6473,543,6473,545,6473,546,6484,601,6514,646,6559,676,6614,687,6668,676,6713,646,6731,619,6743,601,6754,546xm7157,322l7089,322,7051,381,7098,380,7157,322xe" filled="true" fillcolor="#883130" stroked="false">
              <v:path arrowok="t"/>
              <v:fill type="solid"/>
            </v:shape>
            <v:shape style="position:absolute;left:7223;top:404;width:222;height:284" type="#_x0000_t75" stroked="false">
              <v:imagedata r:id="rId16" o:title=""/>
            </v:shape>
            <v:shape style="position:absolute;left:6912;top:405;width:282;height:282" type="#_x0000_t75" stroked="false">
              <v:imagedata r:id="rId17" o:title=""/>
            </v:shape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headerReference w:type="default" r:id="rId18"/>
          <w:pgSz w:w="11910" w:h="16840"/>
          <w:pgMar w:header="0" w:footer="0" w:top="1280" w:bottom="280" w:left="1240" w:right="1340"/>
        </w:sectPr>
      </w:pPr>
    </w:p>
    <w:p>
      <w:pPr>
        <w:pStyle w:val="BodyText"/>
        <w:spacing w:before="1" w:after="1"/>
        <w:rPr>
          <w:rFonts w:ascii="Arial"/>
          <w:sz w:val="9"/>
        </w:rPr>
      </w:pPr>
      <w:r>
        <w:rPr/>
        <w:pict>
          <v:group style="position:absolute;margin-left:351.131989pt;margin-top:405.001007pt;width:73.3pt;height:1.55pt;mso-position-horizontal-relative:page;mso-position-vertical-relative:page;z-index:-17096192" coordorigin="7023,8100" coordsize="1466,31">
            <v:line style="position:absolute" from="7023,8100" to="8489,8100" stroked="true" strokeweight="0pt" strokecolor="#000000">
              <v:stroke dashstyle="solid"/>
            </v:line>
            <v:rect style="position:absolute;left:7022;top:8100;width:1466;height:16" filled="true" fillcolor="#000000" stroked="false">
              <v:fill type="solid"/>
            </v:rect>
            <v:line style="position:absolute" from="7023,8131" to="8489,8131" stroked="true" strokeweight="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51.131989pt;margin-top:716.117004pt;width:73.3pt;height:1.55pt;mso-position-horizontal-relative:page;mso-position-vertical-relative:page;z-index:-17095680" coordorigin="7023,14322" coordsize="1466,31">
            <v:line style="position:absolute" from="7023,14322" to="8489,14322" stroked="true" strokeweight="0pt" strokecolor="#000000">
              <v:stroke dashstyle="solid"/>
            </v:line>
            <v:rect style="position:absolute;left:7022;top:14322;width:1466;height:16" filled="true" fillcolor="#000000" stroked="false">
              <v:fill type="solid"/>
            </v:rect>
            <v:line style="position:absolute" from="7023,14353" to="8489,14353" stroked="true" strokeweight="0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7095168" from="445.808136pt,405.001038pt" to="519.105673pt,405.001038pt" stroked="true" strokeweight="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7094656" from="445.808136pt,716.117126pt" to="519.105673pt,716.117126pt" stroked="true" strokeweight="0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3"/>
        <w:gridCol w:w="1216"/>
        <w:gridCol w:w="1466"/>
        <w:gridCol w:w="428"/>
        <w:gridCol w:w="1466"/>
      </w:tblGrid>
      <w:tr>
        <w:trPr>
          <w:trHeight w:val="854" w:hRule="atLeast"/>
        </w:trPr>
        <w:tc>
          <w:tcPr>
            <w:tcW w:w="4423" w:type="dxa"/>
          </w:tcPr>
          <w:p>
            <w:pPr>
              <w:pStyle w:val="TableParagraph"/>
              <w:spacing w:line="205" w:lineRule="exact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BALANÇO PATRIMONIAL</w:t>
            </w:r>
          </w:p>
          <w:p>
            <w:pPr>
              <w:pStyle w:val="TableParagraph"/>
              <w:spacing w:before="99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5"/>
                <w:sz w:val="17"/>
              </w:rPr>
              <w:t>EM 31 DE DEZEMBRO DE 2019 E 2018</w:t>
            </w:r>
          </w:p>
          <w:p>
            <w:pPr>
              <w:pStyle w:val="TableParagraph"/>
              <w:spacing w:before="67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(EM R$ 1)</w:t>
            </w:r>
          </w:p>
        </w:tc>
        <w:tc>
          <w:tcPr>
            <w:tcW w:w="4576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4423" w:type="dxa"/>
          </w:tcPr>
          <w:p>
            <w:pPr>
              <w:pStyle w:val="TableParagraph"/>
              <w:spacing w:before="45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ATIVO</w:t>
            </w:r>
          </w:p>
        </w:tc>
        <w:tc>
          <w:tcPr>
            <w:tcW w:w="1216" w:type="dxa"/>
          </w:tcPr>
          <w:p>
            <w:pPr>
              <w:pStyle w:val="TableParagraph"/>
              <w:spacing w:before="45"/>
              <w:ind w:right="95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85"/>
                <w:sz w:val="17"/>
              </w:rPr>
              <w:t>Nota</w:t>
            </w:r>
          </w:p>
        </w:tc>
        <w:tc>
          <w:tcPr>
            <w:tcW w:w="14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45"/>
              <w:ind w:left="494" w:right="494"/>
              <w:jc w:val="center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2019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45"/>
              <w:ind w:left="494" w:right="495"/>
              <w:jc w:val="center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2018</w:t>
            </w:r>
          </w:p>
        </w:tc>
      </w:tr>
      <w:tr>
        <w:trPr>
          <w:trHeight w:val="289" w:hRule="atLeast"/>
        </w:trPr>
        <w:tc>
          <w:tcPr>
            <w:tcW w:w="4423" w:type="dxa"/>
          </w:tcPr>
          <w:p>
            <w:pPr>
              <w:pStyle w:val="TableParagraph"/>
              <w:spacing w:before="36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5"/>
                <w:sz w:val="17"/>
              </w:rPr>
              <w:t>CIRCULANTE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4423" w:type="dxa"/>
          </w:tcPr>
          <w:p>
            <w:pPr>
              <w:pStyle w:val="TableParagraph"/>
              <w:spacing w:before="36"/>
              <w:ind w:left="279"/>
              <w:rPr>
                <w:sz w:val="17"/>
              </w:rPr>
            </w:pPr>
            <w:r>
              <w:rPr>
                <w:w w:val="85"/>
                <w:sz w:val="17"/>
              </w:rPr>
              <w:t>Caixa e Equivalentes de Caixa</w:t>
            </w:r>
          </w:p>
        </w:tc>
        <w:tc>
          <w:tcPr>
            <w:tcW w:w="1216" w:type="dxa"/>
          </w:tcPr>
          <w:p>
            <w:pPr>
              <w:pStyle w:val="TableParagraph"/>
              <w:spacing w:before="36"/>
              <w:ind w:right="227"/>
              <w:jc w:val="right"/>
              <w:rPr>
                <w:sz w:val="17"/>
              </w:rPr>
            </w:pPr>
            <w:r>
              <w:rPr>
                <w:w w:val="79"/>
                <w:sz w:val="17"/>
              </w:rPr>
              <w:t>4</w:t>
            </w: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702.265.678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561.066.635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79"/>
              <w:rPr>
                <w:sz w:val="17"/>
              </w:rPr>
            </w:pPr>
            <w:r>
              <w:rPr>
                <w:w w:val="85"/>
                <w:sz w:val="17"/>
              </w:rPr>
              <w:t>Clientes a Receber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227"/>
              <w:jc w:val="right"/>
              <w:rPr>
                <w:sz w:val="17"/>
              </w:rPr>
            </w:pPr>
            <w:r>
              <w:rPr>
                <w:w w:val="79"/>
                <w:sz w:val="17"/>
              </w:rPr>
              <w:t>5</w:t>
            </w: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111.948.927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146.357.026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79"/>
              <w:rPr>
                <w:sz w:val="17"/>
              </w:rPr>
            </w:pPr>
            <w:r>
              <w:rPr>
                <w:w w:val="90"/>
                <w:sz w:val="17"/>
              </w:rPr>
              <w:t>Estoque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227"/>
              <w:jc w:val="right"/>
              <w:rPr>
                <w:sz w:val="17"/>
              </w:rPr>
            </w:pPr>
            <w:r>
              <w:rPr>
                <w:w w:val="79"/>
                <w:sz w:val="17"/>
              </w:rPr>
              <w:t>6</w:t>
            </w: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117.898.564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110.739.325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79"/>
              <w:rPr>
                <w:sz w:val="17"/>
              </w:rPr>
            </w:pPr>
            <w:r>
              <w:rPr>
                <w:w w:val="85"/>
                <w:sz w:val="17"/>
              </w:rPr>
              <w:t>Impostos a Recuperar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227"/>
              <w:jc w:val="right"/>
              <w:rPr>
                <w:sz w:val="17"/>
              </w:rPr>
            </w:pPr>
            <w:r>
              <w:rPr>
                <w:w w:val="79"/>
                <w:sz w:val="17"/>
              </w:rPr>
              <w:t>7</w:t>
            </w: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48.152.106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50.279.551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79"/>
              <w:rPr>
                <w:sz w:val="17"/>
              </w:rPr>
            </w:pPr>
            <w:r>
              <w:rPr>
                <w:w w:val="90"/>
                <w:sz w:val="17"/>
              </w:rPr>
              <w:t>Adiantamentos de Convênios e Assemelhados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227"/>
              <w:jc w:val="right"/>
              <w:rPr>
                <w:sz w:val="17"/>
              </w:rPr>
            </w:pPr>
            <w:r>
              <w:rPr>
                <w:w w:val="79"/>
                <w:sz w:val="17"/>
              </w:rPr>
              <w:t>8</w:t>
            </w: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3.785.516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4.104.033</w:t>
            </w:r>
          </w:p>
        </w:tc>
      </w:tr>
      <w:tr>
        <w:trPr>
          <w:trHeight w:val="296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80"/>
              <w:rPr>
                <w:sz w:val="17"/>
              </w:rPr>
            </w:pPr>
            <w:r>
              <w:rPr>
                <w:w w:val="90"/>
                <w:sz w:val="17"/>
              </w:rPr>
              <w:t>Outros Créditos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227"/>
              <w:jc w:val="right"/>
              <w:rPr>
                <w:sz w:val="17"/>
              </w:rPr>
            </w:pPr>
            <w:r>
              <w:rPr>
                <w:w w:val="79"/>
                <w:sz w:val="17"/>
              </w:rPr>
              <w:t>9</w:t>
            </w: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7.845.880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7.082.416</w:t>
            </w:r>
          </w:p>
        </w:tc>
      </w:tr>
      <w:tr>
        <w:trPr>
          <w:trHeight w:val="280" w:hRule="atLeast"/>
        </w:trPr>
        <w:tc>
          <w:tcPr>
            <w:tcW w:w="4423" w:type="dxa"/>
          </w:tcPr>
          <w:p>
            <w:pPr>
              <w:pStyle w:val="TableParagraph"/>
              <w:spacing w:before="40"/>
              <w:ind w:left="51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5"/>
                <w:sz w:val="17"/>
              </w:rPr>
              <w:t>Total do Ativo Circulante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0"/>
              <w:ind w:right="43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991.896.671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0"/>
              <w:ind w:right="4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879.628.986</w:t>
            </w:r>
          </w:p>
        </w:tc>
      </w:tr>
      <w:tr>
        <w:trPr>
          <w:trHeight w:val="289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51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NÃO CIRCULANTE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4423" w:type="dxa"/>
          </w:tcPr>
          <w:p>
            <w:pPr>
              <w:pStyle w:val="TableParagraph"/>
              <w:spacing w:before="36"/>
              <w:ind w:left="280"/>
              <w:rPr>
                <w:sz w:val="17"/>
              </w:rPr>
            </w:pPr>
            <w:r>
              <w:rPr>
                <w:w w:val="85"/>
                <w:sz w:val="17"/>
              </w:rPr>
              <w:t>Depósitos Judiciais</w:t>
            </w:r>
          </w:p>
        </w:tc>
        <w:tc>
          <w:tcPr>
            <w:tcW w:w="1216" w:type="dxa"/>
          </w:tcPr>
          <w:p>
            <w:pPr>
              <w:pStyle w:val="TableParagraph"/>
              <w:spacing w:before="36"/>
              <w:ind w:right="11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10.b</w:t>
            </w: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3.164.121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173"/>
              <w:jc w:val="right"/>
              <w:rPr>
                <w:sz w:val="17"/>
              </w:rPr>
            </w:pPr>
            <w:r>
              <w:rPr>
                <w:w w:val="118"/>
                <w:sz w:val="17"/>
              </w:rPr>
              <w:t>-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51"/>
              <w:ind w:left="28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Imobilizado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180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11</w:t>
            </w:r>
          </w:p>
        </w:tc>
        <w:tc>
          <w:tcPr>
            <w:tcW w:w="1466" w:type="dxa"/>
          </w:tcPr>
          <w:p>
            <w:pPr>
              <w:pStyle w:val="TableParagraph"/>
              <w:spacing w:before="51"/>
              <w:ind w:right="43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855.004.029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51"/>
              <w:ind w:right="4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840.701.798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509"/>
              <w:rPr>
                <w:sz w:val="17"/>
              </w:rPr>
            </w:pPr>
            <w:r>
              <w:rPr>
                <w:w w:val="90"/>
                <w:sz w:val="17"/>
              </w:rPr>
              <w:t>Imobilizado em Operação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138.632.296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50.420.543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509"/>
              <w:rPr>
                <w:sz w:val="17"/>
              </w:rPr>
            </w:pPr>
            <w:r>
              <w:rPr>
                <w:w w:val="90"/>
                <w:sz w:val="17"/>
              </w:rPr>
              <w:t>Imobilizado em Andamento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12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11.a</w:t>
            </w: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750.232.741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820.486.949</w:t>
            </w:r>
          </w:p>
        </w:tc>
      </w:tr>
      <w:tr>
        <w:trPr>
          <w:trHeight w:val="301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509"/>
              <w:rPr>
                <w:sz w:val="17"/>
              </w:rPr>
            </w:pPr>
            <w:r>
              <w:rPr>
                <w:w w:val="90"/>
                <w:sz w:val="17"/>
              </w:rPr>
              <w:t>(-) Depreciação Acumulada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3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(23.848.851)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38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(20.193.536)</w:t>
            </w:r>
          </w:p>
        </w:tc>
      </w:tr>
      <w:tr>
        <w:trPr>
          <w:trHeight w:val="312" w:hRule="atLeast"/>
        </w:trPr>
        <w:tc>
          <w:tcPr>
            <w:tcW w:w="4423" w:type="dxa"/>
          </w:tcPr>
          <w:p>
            <w:pPr>
              <w:pStyle w:val="TableParagraph"/>
              <w:spacing w:before="40"/>
              <w:ind w:left="508"/>
              <w:rPr>
                <w:rFonts w:ascii="Arial"/>
                <w:i/>
                <w:sz w:val="17"/>
              </w:rPr>
            </w:pPr>
            <w:r>
              <w:rPr>
                <w:sz w:val="17"/>
              </w:rPr>
              <w:t>(-) </w:t>
            </w:r>
            <w:r>
              <w:rPr>
                <w:rFonts w:ascii="Arial"/>
                <w:i/>
                <w:sz w:val="17"/>
              </w:rPr>
              <w:t>Impairment Test</w:t>
            </w:r>
          </w:p>
        </w:tc>
        <w:tc>
          <w:tcPr>
            <w:tcW w:w="1216" w:type="dxa"/>
          </w:tcPr>
          <w:p>
            <w:pPr>
              <w:pStyle w:val="TableParagraph"/>
              <w:spacing w:before="40"/>
              <w:ind w:right="11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11.b</w:t>
            </w:r>
          </w:p>
        </w:tc>
        <w:tc>
          <w:tcPr>
            <w:tcW w:w="1466" w:type="dxa"/>
          </w:tcPr>
          <w:p>
            <w:pPr>
              <w:pStyle w:val="TableParagraph"/>
              <w:spacing w:before="40"/>
              <w:ind w:right="38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(10.012.157)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40"/>
              <w:ind w:right="3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(10.012.157)</w:t>
            </w:r>
          </w:p>
        </w:tc>
      </w:tr>
      <w:tr>
        <w:trPr>
          <w:trHeight w:val="295" w:hRule="atLeast"/>
        </w:trPr>
        <w:tc>
          <w:tcPr>
            <w:tcW w:w="4423" w:type="dxa"/>
          </w:tcPr>
          <w:p>
            <w:pPr>
              <w:pStyle w:val="TableParagraph"/>
              <w:spacing w:before="34"/>
              <w:ind w:left="279"/>
              <w:rPr>
                <w:sz w:val="17"/>
              </w:rPr>
            </w:pPr>
            <w:r>
              <w:rPr>
                <w:w w:val="85"/>
                <w:sz w:val="17"/>
              </w:rPr>
              <w:t>Intangível</w:t>
            </w:r>
          </w:p>
        </w:tc>
        <w:tc>
          <w:tcPr>
            <w:tcW w:w="1216" w:type="dxa"/>
          </w:tcPr>
          <w:p>
            <w:pPr>
              <w:pStyle w:val="TableParagraph"/>
              <w:spacing w:before="34"/>
              <w:ind w:right="18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12</w:t>
            </w: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18.912.339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right="4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20.931.697</w:t>
            </w:r>
          </w:p>
        </w:tc>
      </w:tr>
      <w:tr>
        <w:trPr>
          <w:trHeight w:val="280" w:hRule="atLeast"/>
        </w:trPr>
        <w:tc>
          <w:tcPr>
            <w:tcW w:w="4423" w:type="dxa"/>
          </w:tcPr>
          <w:p>
            <w:pPr>
              <w:pStyle w:val="TableParagraph"/>
              <w:spacing w:before="40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Total do Ativo não Circulante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0"/>
              <w:ind w:right="4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877.080.489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0"/>
              <w:ind w:right="45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861.633.496</w:t>
            </w:r>
          </w:p>
        </w:tc>
      </w:tr>
      <w:tr>
        <w:trPr>
          <w:trHeight w:val="276" w:hRule="atLeast"/>
        </w:trPr>
        <w:tc>
          <w:tcPr>
            <w:tcW w:w="4423" w:type="dxa"/>
          </w:tcPr>
          <w:p>
            <w:pPr>
              <w:pStyle w:val="TableParagraph"/>
              <w:spacing w:before="36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5"/>
                <w:sz w:val="17"/>
              </w:rPr>
              <w:t>TOTAL DO ATIVO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6"/>
              <w:ind w:right="4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1.868.977.160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36"/>
              <w:ind w:right="4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1.741.262.482</w:t>
            </w:r>
          </w:p>
        </w:tc>
      </w:tr>
      <w:tr>
        <w:trPr>
          <w:trHeight w:val="581" w:hRule="atLeast"/>
        </w:trPr>
        <w:tc>
          <w:tcPr>
            <w:tcW w:w="4423" w:type="dxa"/>
          </w:tcPr>
          <w:p>
            <w:pPr>
              <w:pStyle w:val="TableParagraph"/>
              <w:spacing w:before="8"/>
              <w:rPr>
                <w:rFonts w:ascii="Arial"/>
                <w:sz w:val="29"/>
              </w:rPr>
            </w:pPr>
          </w:p>
          <w:p>
            <w:pPr>
              <w:pStyle w:val="TableParagraph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PASSIVO</w:t>
            </w:r>
          </w:p>
        </w:tc>
        <w:tc>
          <w:tcPr>
            <w:tcW w:w="1216" w:type="dxa"/>
          </w:tcPr>
          <w:p>
            <w:pPr>
              <w:pStyle w:val="TableParagraph"/>
              <w:spacing w:before="8"/>
              <w:rPr>
                <w:rFonts w:ascii="Arial"/>
                <w:sz w:val="29"/>
              </w:rPr>
            </w:pPr>
          </w:p>
          <w:p>
            <w:pPr>
              <w:pStyle w:val="TableParagraph"/>
              <w:ind w:right="9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85"/>
                <w:sz w:val="17"/>
              </w:rPr>
              <w:t>Nota</w:t>
            </w:r>
          </w:p>
        </w:tc>
        <w:tc>
          <w:tcPr>
            <w:tcW w:w="14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29"/>
              </w:rPr>
            </w:pPr>
          </w:p>
          <w:p>
            <w:pPr>
              <w:pStyle w:val="TableParagraph"/>
              <w:ind w:left="494" w:right="494"/>
              <w:jc w:val="center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2019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29"/>
              </w:rPr>
            </w:pPr>
          </w:p>
          <w:p>
            <w:pPr>
              <w:pStyle w:val="TableParagraph"/>
              <w:ind w:left="494" w:right="494"/>
              <w:jc w:val="center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2018</w:t>
            </w:r>
          </w:p>
        </w:tc>
      </w:tr>
      <w:tr>
        <w:trPr>
          <w:trHeight w:val="289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5"/>
                <w:sz w:val="17"/>
              </w:rPr>
              <w:t>CIRCULANTE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4423" w:type="dxa"/>
          </w:tcPr>
          <w:p>
            <w:pPr>
              <w:pStyle w:val="TableParagraph"/>
              <w:spacing w:before="36"/>
              <w:ind w:left="279"/>
              <w:rPr>
                <w:sz w:val="17"/>
              </w:rPr>
            </w:pPr>
            <w:r>
              <w:rPr>
                <w:w w:val="90"/>
                <w:sz w:val="17"/>
              </w:rPr>
              <w:t>Fornecedores</w:t>
            </w:r>
          </w:p>
        </w:tc>
        <w:tc>
          <w:tcPr>
            <w:tcW w:w="1216" w:type="dxa"/>
          </w:tcPr>
          <w:p>
            <w:pPr>
              <w:pStyle w:val="TableParagraph"/>
              <w:spacing w:before="36"/>
              <w:ind w:right="180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13</w:t>
            </w: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249.954.985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211.836.929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79"/>
              <w:rPr>
                <w:sz w:val="17"/>
              </w:rPr>
            </w:pPr>
            <w:r>
              <w:rPr>
                <w:w w:val="90"/>
                <w:sz w:val="17"/>
              </w:rPr>
              <w:t>Convênios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180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14</w:t>
            </w: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37"/>
              <w:jc w:val="right"/>
              <w:rPr>
                <w:sz w:val="17"/>
              </w:rPr>
            </w:pPr>
            <w:r>
              <w:rPr>
                <w:w w:val="118"/>
                <w:sz w:val="17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5.199.740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80"/>
              <w:rPr>
                <w:sz w:val="17"/>
              </w:rPr>
            </w:pPr>
            <w:r>
              <w:rPr>
                <w:w w:val="90"/>
                <w:sz w:val="17"/>
              </w:rPr>
              <w:t>Obrigações Tributárias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180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15</w:t>
            </w: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1.931.989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4.294.832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80"/>
              <w:rPr>
                <w:sz w:val="17"/>
              </w:rPr>
            </w:pPr>
            <w:r>
              <w:rPr>
                <w:w w:val="85"/>
                <w:sz w:val="17"/>
              </w:rPr>
              <w:t>Obrigações Sociais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180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16</w:t>
            </w: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4.643.909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4.438.518</w:t>
            </w:r>
          </w:p>
        </w:tc>
      </w:tr>
      <w:tr>
        <w:trPr>
          <w:trHeight w:val="296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80"/>
              <w:rPr>
                <w:sz w:val="17"/>
              </w:rPr>
            </w:pPr>
            <w:r>
              <w:rPr>
                <w:w w:val="90"/>
                <w:sz w:val="17"/>
              </w:rPr>
              <w:t>Outras Obrigações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1.020.588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1.093.017</w:t>
            </w:r>
          </w:p>
        </w:tc>
      </w:tr>
      <w:tr>
        <w:trPr>
          <w:trHeight w:val="280" w:hRule="atLeast"/>
        </w:trPr>
        <w:tc>
          <w:tcPr>
            <w:tcW w:w="4423" w:type="dxa"/>
          </w:tcPr>
          <w:p>
            <w:pPr>
              <w:pStyle w:val="TableParagraph"/>
              <w:spacing w:before="40"/>
              <w:ind w:left="51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5"/>
                <w:sz w:val="17"/>
              </w:rPr>
              <w:t>Total do Passivo Circulante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0"/>
              <w:ind w:right="43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257.551.471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0"/>
              <w:ind w:right="43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226.863.036</w:t>
            </w:r>
          </w:p>
        </w:tc>
      </w:tr>
      <w:tr>
        <w:trPr>
          <w:trHeight w:val="289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51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NÃO CIRCULANTE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4423" w:type="dxa"/>
          </w:tcPr>
          <w:p>
            <w:pPr>
              <w:pStyle w:val="TableParagraph"/>
              <w:spacing w:before="36"/>
              <w:ind w:left="280"/>
              <w:rPr>
                <w:sz w:val="17"/>
              </w:rPr>
            </w:pPr>
            <w:r>
              <w:rPr>
                <w:w w:val="90"/>
                <w:sz w:val="17"/>
              </w:rPr>
              <w:t>Fornecedores</w:t>
            </w:r>
          </w:p>
        </w:tc>
        <w:tc>
          <w:tcPr>
            <w:tcW w:w="1216" w:type="dxa"/>
          </w:tcPr>
          <w:p>
            <w:pPr>
              <w:pStyle w:val="TableParagraph"/>
              <w:spacing w:before="36"/>
              <w:ind w:right="180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13</w:t>
            </w: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386.466.569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433.438.551</w:t>
            </w:r>
          </w:p>
        </w:tc>
      </w:tr>
      <w:tr>
        <w:trPr>
          <w:trHeight w:val="296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80"/>
              <w:rPr>
                <w:sz w:val="17"/>
              </w:rPr>
            </w:pPr>
            <w:r>
              <w:rPr>
                <w:w w:val="90"/>
                <w:sz w:val="17"/>
              </w:rPr>
              <w:t>Contingências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179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17</w:t>
            </w: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4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694.350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612.967</w:t>
            </w:r>
          </w:p>
        </w:tc>
      </w:tr>
      <w:tr>
        <w:trPr>
          <w:trHeight w:val="280" w:hRule="atLeast"/>
        </w:trPr>
        <w:tc>
          <w:tcPr>
            <w:tcW w:w="4423" w:type="dxa"/>
          </w:tcPr>
          <w:p>
            <w:pPr>
              <w:pStyle w:val="TableParagraph"/>
              <w:spacing w:before="40"/>
              <w:ind w:left="51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Total do Passivo não Circulante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0"/>
              <w:ind w:right="42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387.160.919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40"/>
              <w:ind w:right="43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434.051.518</w:t>
            </w:r>
          </w:p>
        </w:tc>
      </w:tr>
      <w:tr>
        <w:trPr>
          <w:trHeight w:val="276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51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5"/>
                <w:sz w:val="17"/>
              </w:rPr>
              <w:t>Total do Passivo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5"/>
              <w:ind w:right="42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644.712.390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5"/>
              <w:ind w:right="43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660.914.554</w:t>
            </w:r>
          </w:p>
        </w:tc>
      </w:tr>
      <w:tr>
        <w:trPr>
          <w:trHeight w:val="288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52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0"/>
                <w:sz w:val="17"/>
              </w:rPr>
              <w:t>PATRIMÔNIO LÍQUIDO</w:t>
            </w:r>
          </w:p>
        </w:tc>
        <w:tc>
          <w:tcPr>
            <w:tcW w:w="1216" w:type="dxa"/>
          </w:tcPr>
          <w:p>
            <w:pPr>
              <w:pStyle w:val="TableParagraph"/>
              <w:spacing w:before="35"/>
              <w:ind w:right="179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18</w:t>
            </w: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4423" w:type="dxa"/>
          </w:tcPr>
          <w:p>
            <w:pPr>
              <w:pStyle w:val="TableParagraph"/>
              <w:spacing w:before="36"/>
              <w:ind w:left="281"/>
              <w:rPr>
                <w:sz w:val="17"/>
              </w:rPr>
            </w:pPr>
            <w:r>
              <w:rPr>
                <w:w w:val="85"/>
                <w:sz w:val="17"/>
              </w:rPr>
              <w:t>Capital Social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4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1.201.768.293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6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1.192.082.724</w:t>
            </w:r>
          </w:p>
        </w:tc>
      </w:tr>
      <w:tr>
        <w:trPr>
          <w:trHeight w:val="305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81"/>
              <w:rPr>
                <w:sz w:val="17"/>
              </w:rPr>
            </w:pPr>
            <w:r>
              <w:rPr>
                <w:w w:val="90"/>
                <w:sz w:val="17"/>
              </w:rPr>
              <w:t>Prejuízos Acumulados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36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(270.080.292)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35"/>
              <w:ind w:right="3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(413.997.135)</w:t>
            </w:r>
          </w:p>
        </w:tc>
      </w:tr>
      <w:tr>
        <w:trPr>
          <w:trHeight w:val="297" w:hRule="atLeast"/>
        </w:trPr>
        <w:tc>
          <w:tcPr>
            <w:tcW w:w="4423" w:type="dxa"/>
          </w:tcPr>
          <w:p>
            <w:pPr>
              <w:pStyle w:val="TableParagraph"/>
              <w:spacing w:before="35"/>
              <w:ind w:left="281"/>
              <w:rPr>
                <w:sz w:val="17"/>
              </w:rPr>
            </w:pPr>
            <w:r>
              <w:rPr>
                <w:w w:val="90"/>
                <w:sz w:val="17"/>
              </w:rPr>
              <w:t>AFAC</w:t>
            </w:r>
          </w:p>
        </w:tc>
        <w:tc>
          <w:tcPr>
            <w:tcW w:w="12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42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292.576.769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44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302.262.339</w:t>
            </w:r>
          </w:p>
        </w:tc>
      </w:tr>
      <w:tr>
        <w:trPr>
          <w:trHeight w:val="280" w:hRule="atLeast"/>
        </w:trPr>
        <w:tc>
          <w:tcPr>
            <w:tcW w:w="5639" w:type="dxa"/>
            <w:gridSpan w:val="2"/>
          </w:tcPr>
          <w:p>
            <w:pPr>
              <w:pStyle w:val="TableParagraph"/>
              <w:spacing w:before="32"/>
              <w:ind w:left="52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Total do Patrimônio Líquido</w:t>
            </w:r>
          </w:p>
        </w:tc>
        <w:tc>
          <w:tcPr>
            <w:tcW w:w="14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32"/>
              <w:ind w:right="42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1.224.264.770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32"/>
              <w:ind w:right="42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1.080.347.928</w:t>
            </w:r>
          </w:p>
        </w:tc>
      </w:tr>
      <w:tr>
        <w:trPr>
          <w:trHeight w:val="276" w:hRule="atLeast"/>
        </w:trPr>
        <w:tc>
          <w:tcPr>
            <w:tcW w:w="5639" w:type="dxa"/>
            <w:gridSpan w:val="2"/>
          </w:tcPr>
          <w:p>
            <w:pPr>
              <w:pStyle w:val="TableParagraph"/>
              <w:spacing w:before="35"/>
              <w:ind w:left="52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0"/>
                <w:sz w:val="17"/>
              </w:rPr>
              <w:t>TOTAL PASSIVO E PATRIMÔNIO LÍQUIDO</w:t>
            </w:r>
          </w:p>
        </w:tc>
        <w:tc>
          <w:tcPr>
            <w:tcW w:w="1466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42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1.868.977.160</w:t>
            </w: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35"/>
              <w:ind w:right="42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1.741.262.482</w:t>
            </w:r>
          </w:p>
        </w:tc>
      </w:tr>
      <w:tr>
        <w:trPr>
          <w:trHeight w:val="263" w:hRule="atLeast"/>
        </w:trPr>
        <w:tc>
          <w:tcPr>
            <w:tcW w:w="5639" w:type="dxa"/>
            <w:gridSpan w:val="2"/>
          </w:tcPr>
          <w:p>
            <w:pPr>
              <w:pStyle w:val="TableParagraph"/>
              <w:spacing w:line="209" w:lineRule="exact" w:before="34"/>
              <w:ind w:left="52"/>
              <w:rPr>
                <w:sz w:val="17"/>
              </w:rPr>
            </w:pPr>
            <w:r>
              <w:rPr>
                <w:w w:val="80"/>
                <w:sz w:val="17"/>
              </w:rPr>
              <w:t>As notas explicativas são parte integrante das demonstrações contábeis</w:t>
            </w:r>
          </w:p>
        </w:tc>
        <w:tc>
          <w:tcPr>
            <w:tcW w:w="146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19"/>
          <w:footerReference w:type="default" r:id="rId20"/>
          <w:pgSz w:w="11910" w:h="16840"/>
          <w:pgMar w:header="593" w:footer="546" w:top="1280" w:bottom="740" w:left="1240" w:right="1340"/>
          <w:pgNumType w:start="3"/>
        </w:sectPr>
      </w:pPr>
    </w:p>
    <w:p>
      <w:pPr>
        <w:pStyle w:val="BodyText"/>
        <w:spacing w:before="1"/>
        <w:rPr>
          <w:rFonts w:ascii="Arial"/>
          <w:sz w:val="10"/>
        </w:rPr>
      </w:pP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6"/>
        <w:gridCol w:w="601"/>
        <w:gridCol w:w="1549"/>
        <w:gridCol w:w="666"/>
        <w:gridCol w:w="1694"/>
      </w:tblGrid>
      <w:tr>
        <w:trPr>
          <w:trHeight w:val="556" w:hRule="atLeast"/>
        </w:trPr>
        <w:tc>
          <w:tcPr>
            <w:tcW w:w="4546" w:type="dxa"/>
          </w:tcPr>
          <w:p>
            <w:pPr>
              <w:pStyle w:val="TableParagraph"/>
              <w:spacing w:before="7"/>
              <w:ind w:left="5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w w:val="95"/>
                <w:sz w:val="16"/>
              </w:rPr>
              <w:t>DEMONSTRAÇÃO DO RESULTADO</w:t>
            </w:r>
          </w:p>
          <w:p>
            <w:pPr>
              <w:pStyle w:val="TableParagraph"/>
              <w:spacing w:before="111"/>
              <w:ind w:left="5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pacing w:val="-3"/>
                <w:w w:val="90"/>
                <w:sz w:val="16"/>
              </w:rPr>
              <w:t>EXERCÍCIOS</w:t>
            </w:r>
            <w:r>
              <w:rPr>
                <w:rFonts w:ascii="Verdana" w:hAnsi="Verdana"/>
                <w:b/>
                <w:spacing w:val="-34"/>
                <w:w w:val="90"/>
                <w:sz w:val="16"/>
              </w:rPr>
              <w:t> </w:t>
            </w:r>
            <w:r>
              <w:rPr>
                <w:rFonts w:ascii="Verdana" w:hAnsi="Verdana"/>
                <w:b/>
                <w:w w:val="90"/>
                <w:sz w:val="16"/>
              </w:rPr>
              <w:t>FINDOS</w:t>
            </w:r>
            <w:r>
              <w:rPr>
                <w:rFonts w:ascii="Verdana" w:hAnsi="Verdana"/>
                <w:b/>
                <w:spacing w:val="-33"/>
                <w:w w:val="90"/>
                <w:sz w:val="16"/>
              </w:rPr>
              <w:t> </w:t>
            </w:r>
            <w:r>
              <w:rPr>
                <w:rFonts w:ascii="Verdana" w:hAnsi="Verdana"/>
                <w:b/>
                <w:w w:val="90"/>
                <w:sz w:val="16"/>
              </w:rPr>
              <w:t>EM</w:t>
            </w:r>
            <w:r>
              <w:rPr>
                <w:rFonts w:ascii="Verdana" w:hAnsi="Verdana"/>
                <w:b/>
                <w:spacing w:val="-29"/>
                <w:w w:val="90"/>
                <w:sz w:val="16"/>
              </w:rPr>
              <w:t> </w:t>
            </w:r>
            <w:r>
              <w:rPr>
                <w:rFonts w:ascii="Verdana" w:hAnsi="Verdana"/>
                <w:b/>
                <w:spacing w:val="-3"/>
                <w:w w:val="90"/>
                <w:sz w:val="16"/>
              </w:rPr>
              <w:t>31</w:t>
            </w:r>
            <w:r>
              <w:rPr>
                <w:rFonts w:ascii="Verdana" w:hAnsi="Verdana"/>
                <w:b/>
                <w:spacing w:val="-34"/>
                <w:w w:val="90"/>
                <w:sz w:val="16"/>
              </w:rPr>
              <w:t> </w:t>
            </w:r>
            <w:r>
              <w:rPr>
                <w:rFonts w:ascii="Verdana" w:hAnsi="Verdana"/>
                <w:b/>
                <w:w w:val="90"/>
                <w:sz w:val="16"/>
              </w:rPr>
              <w:t>DE</w:t>
            </w:r>
            <w:r>
              <w:rPr>
                <w:rFonts w:ascii="Verdana" w:hAnsi="Verdana"/>
                <w:b/>
                <w:spacing w:val="-32"/>
                <w:w w:val="90"/>
                <w:sz w:val="16"/>
              </w:rPr>
              <w:t> </w:t>
            </w:r>
            <w:r>
              <w:rPr>
                <w:rFonts w:ascii="Verdana" w:hAnsi="Verdana"/>
                <w:b/>
                <w:w w:val="90"/>
                <w:sz w:val="16"/>
              </w:rPr>
              <w:t>DEZEMBRO</w:t>
            </w:r>
            <w:r>
              <w:rPr>
                <w:rFonts w:ascii="Verdana" w:hAnsi="Verdana"/>
                <w:b/>
                <w:spacing w:val="-34"/>
                <w:w w:val="90"/>
                <w:sz w:val="16"/>
              </w:rPr>
              <w:t> </w:t>
            </w:r>
            <w:r>
              <w:rPr>
                <w:rFonts w:ascii="Verdana" w:hAnsi="Verdana"/>
                <w:b/>
                <w:w w:val="90"/>
                <w:sz w:val="16"/>
              </w:rPr>
              <w:t>DE</w:t>
            </w:r>
            <w:r>
              <w:rPr>
                <w:rFonts w:ascii="Verdana" w:hAnsi="Verdana"/>
                <w:b/>
                <w:spacing w:val="-31"/>
                <w:w w:val="90"/>
                <w:sz w:val="16"/>
              </w:rPr>
              <w:t> </w:t>
            </w:r>
            <w:r>
              <w:rPr>
                <w:rFonts w:ascii="Verdana" w:hAnsi="Verdana"/>
                <w:b/>
                <w:spacing w:val="-4"/>
                <w:w w:val="90"/>
                <w:sz w:val="16"/>
              </w:rPr>
              <w:t>2019</w:t>
            </w:r>
            <w:r>
              <w:rPr>
                <w:rFonts w:ascii="Verdana" w:hAnsi="Verdana"/>
                <w:b/>
                <w:spacing w:val="-35"/>
                <w:w w:val="90"/>
                <w:sz w:val="16"/>
              </w:rPr>
              <w:t> </w:t>
            </w:r>
            <w:r>
              <w:rPr>
                <w:rFonts w:ascii="Verdana" w:hAnsi="Verdana"/>
                <w:b/>
                <w:w w:val="90"/>
                <w:sz w:val="16"/>
              </w:rPr>
              <w:t>E</w:t>
            </w:r>
            <w:r>
              <w:rPr>
                <w:rFonts w:ascii="Verdana" w:hAnsi="Verdana"/>
                <w:b/>
                <w:spacing w:val="-31"/>
                <w:w w:val="90"/>
                <w:sz w:val="16"/>
              </w:rPr>
              <w:t> </w:t>
            </w:r>
            <w:r>
              <w:rPr>
                <w:rFonts w:ascii="Verdana" w:hAnsi="Verdana"/>
                <w:b/>
                <w:spacing w:val="-5"/>
                <w:w w:val="90"/>
                <w:sz w:val="16"/>
              </w:rPr>
              <w:t>2018</w:t>
            </w:r>
          </w:p>
        </w:tc>
        <w:tc>
          <w:tcPr>
            <w:tcW w:w="4510" w:type="dxa"/>
            <w:gridSpan w:val="4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4546" w:type="dxa"/>
          </w:tcPr>
          <w:p>
            <w:pPr>
              <w:pStyle w:val="TableParagraph"/>
              <w:spacing w:before="47"/>
              <w:ind w:left="50"/>
              <w:rPr>
                <w:sz w:val="16"/>
              </w:rPr>
            </w:pPr>
            <w:r>
              <w:rPr>
                <w:w w:val="90"/>
                <w:sz w:val="16"/>
              </w:rPr>
              <w:t>(EM R$ 1)</w:t>
            </w:r>
          </w:p>
        </w:tc>
        <w:tc>
          <w:tcPr>
            <w:tcW w:w="451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45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before="55"/>
              <w:ind w:left="155" w:right="23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90"/>
                <w:sz w:val="16"/>
              </w:rPr>
              <w:t>Nota</w:t>
            </w:r>
          </w:p>
        </w:tc>
        <w:tc>
          <w:tcPr>
            <w:tcW w:w="154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5"/>
              <w:ind w:left="543" w:right="555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90"/>
                <w:sz w:val="16"/>
              </w:rPr>
              <w:t>2019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55"/>
              <w:ind w:left="616" w:right="627"/>
              <w:jc w:val="center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90"/>
                <w:sz w:val="16"/>
              </w:rPr>
              <w:t>2018</w:t>
            </w:r>
          </w:p>
        </w:tc>
      </w:tr>
      <w:tr>
        <w:trPr>
          <w:trHeight w:val="289" w:hRule="atLeast"/>
        </w:trPr>
        <w:tc>
          <w:tcPr>
            <w:tcW w:w="4546" w:type="dxa"/>
          </w:tcPr>
          <w:p>
            <w:pPr>
              <w:pStyle w:val="TableParagraph"/>
              <w:spacing w:before="45"/>
              <w:ind w:left="50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95"/>
                <w:sz w:val="16"/>
              </w:rPr>
              <w:t>Receita Operacional Bruta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5"/>
              <w:ind w:right="99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815.421.000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45"/>
              <w:ind w:right="99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729.508.448</w:t>
            </w:r>
          </w:p>
        </w:tc>
      </w:tr>
      <w:tr>
        <w:trPr>
          <w:trHeight w:val="306" w:hRule="atLeast"/>
        </w:trPr>
        <w:tc>
          <w:tcPr>
            <w:tcW w:w="4546" w:type="dxa"/>
          </w:tcPr>
          <w:p>
            <w:pPr>
              <w:pStyle w:val="TableParagraph"/>
              <w:spacing w:before="47"/>
              <w:ind w:left="311"/>
              <w:rPr>
                <w:sz w:val="16"/>
              </w:rPr>
            </w:pPr>
            <w:r>
              <w:rPr>
                <w:w w:val="90"/>
                <w:sz w:val="16"/>
              </w:rPr>
              <w:t>(-) Deduções da Receita Bruta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47"/>
              <w:ind w:right="78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7"/>
              <w:ind w:right="78"/>
              <w:jc w:val="right"/>
              <w:rPr>
                <w:sz w:val="16"/>
              </w:rPr>
            </w:pPr>
            <w:r>
              <w:rPr>
                <w:w w:val="119"/>
                <w:sz w:val="16"/>
              </w:rPr>
              <w:t>-</w:t>
            </w:r>
          </w:p>
        </w:tc>
      </w:tr>
      <w:tr>
        <w:trPr>
          <w:trHeight w:val="296" w:hRule="atLeast"/>
        </w:trPr>
        <w:tc>
          <w:tcPr>
            <w:tcW w:w="4546" w:type="dxa"/>
          </w:tcPr>
          <w:p>
            <w:pPr>
              <w:pStyle w:val="TableParagraph"/>
              <w:spacing w:before="61"/>
              <w:ind w:left="5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w w:val="95"/>
                <w:sz w:val="16"/>
              </w:rPr>
              <w:t>Receita Operacional Líquida</w:t>
            </w:r>
          </w:p>
        </w:tc>
        <w:tc>
          <w:tcPr>
            <w:tcW w:w="601" w:type="dxa"/>
          </w:tcPr>
          <w:p>
            <w:pPr>
              <w:pStyle w:val="TableParagraph"/>
              <w:spacing w:before="46"/>
              <w:ind w:left="155" w:right="1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19</w:t>
            </w:r>
          </w:p>
        </w:tc>
        <w:tc>
          <w:tcPr>
            <w:tcW w:w="15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99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815.421.000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99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729.508.448</w:t>
            </w:r>
          </w:p>
        </w:tc>
      </w:tr>
      <w:tr>
        <w:trPr>
          <w:trHeight w:val="300" w:hRule="atLeast"/>
        </w:trPr>
        <w:tc>
          <w:tcPr>
            <w:tcW w:w="4546" w:type="dxa"/>
          </w:tcPr>
          <w:p>
            <w:pPr>
              <w:pStyle w:val="TableParagraph"/>
              <w:spacing w:before="35"/>
              <w:ind w:left="267"/>
              <w:rPr>
                <w:sz w:val="16"/>
              </w:rPr>
            </w:pPr>
            <w:r>
              <w:rPr>
                <w:w w:val="90"/>
                <w:sz w:val="16"/>
              </w:rPr>
              <w:t>(-) Custos dos Produtos Vendidos</w:t>
            </w:r>
          </w:p>
        </w:tc>
        <w:tc>
          <w:tcPr>
            <w:tcW w:w="601" w:type="dxa"/>
          </w:tcPr>
          <w:p>
            <w:pPr>
              <w:pStyle w:val="TableParagraph"/>
              <w:spacing w:before="35"/>
              <w:ind w:left="155" w:right="18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20</w:t>
            </w:r>
          </w:p>
        </w:tc>
        <w:tc>
          <w:tcPr>
            <w:tcW w:w="15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5"/>
              <w:ind w:right="36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(552.913.391)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5"/>
              <w:ind w:right="3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(534.606.093)</w:t>
            </w:r>
          </w:p>
        </w:tc>
      </w:tr>
      <w:tr>
        <w:trPr>
          <w:trHeight w:val="290" w:hRule="atLeast"/>
        </w:trPr>
        <w:tc>
          <w:tcPr>
            <w:tcW w:w="4546" w:type="dxa"/>
          </w:tcPr>
          <w:p>
            <w:pPr>
              <w:pStyle w:val="TableParagraph"/>
              <w:spacing w:before="55"/>
              <w:ind w:left="50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95"/>
                <w:sz w:val="16"/>
              </w:rPr>
              <w:t>Resultado Operacional Bruto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5"/>
              <w:ind w:right="99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262.507.609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5"/>
              <w:ind w:right="99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194.902.355</w:t>
            </w:r>
          </w:p>
        </w:tc>
      </w:tr>
      <w:tr>
        <w:trPr>
          <w:trHeight w:val="586" w:hRule="atLeast"/>
        </w:trPr>
        <w:tc>
          <w:tcPr>
            <w:tcW w:w="4546" w:type="dxa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26"/>
              <w:ind w:left="50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90"/>
                <w:sz w:val="16"/>
              </w:rPr>
              <w:t>Despesas Operacionais Administrativas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26"/>
              <w:ind w:right="45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(103.637.753)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126"/>
              <w:ind w:right="45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(105.635.998)</w:t>
            </w:r>
          </w:p>
        </w:tc>
      </w:tr>
      <w:tr>
        <w:trPr>
          <w:trHeight w:val="280" w:hRule="atLeast"/>
        </w:trPr>
        <w:tc>
          <w:tcPr>
            <w:tcW w:w="4546" w:type="dxa"/>
          </w:tcPr>
          <w:p>
            <w:pPr>
              <w:pStyle w:val="TableParagraph"/>
              <w:spacing w:before="45"/>
              <w:ind w:left="26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90"/>
                <w:sz w:val="16"/>
              </w:rPr>
              <w:t>Administrativas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5"/>
              <w:ind w:right="45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(103.637.753)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1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5"/>
              <w:ind w:right="45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(105.635.998)</w:t>
            </w:r>
          </w:p>
        </w:tc>
      </w:tr>
      <w:tr>
        <w:trPr>
          <w:trHeight w:val="302" w:hRule="atLeast"/>
        </w:trPr>
        <w:tc>
          <w:tcPr>
            <w:tcW w:w="4546" w:type="dxa"/>
          </w:tcPr>
          <w:p>
            <w:pPr>
              <w:pStyle w:val="TableParagraph"/>
              <w:spacing w:before="50"/>
              <w:ind w:left="485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w w:val="90"/>
                <w:sz w:val="16"/>
              </w:rPr>
              <w:t>Salários e Encargos</w:t>
            </w:r>
          </w:p>
        </w:tc>
        <w:tc>
          <w:tcPr>
            <w:tcW w:w="601" w:type="dxa"/>
          </w:tcPr>
          <w:p>
            <w:pPr>
              <w:pStyle w:val="TableParagraph"/>
              <w:spacing w:before="50"/>
              <w:ind w:left="155" w:right="17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21</w:t>
            </w:r>
          </w:p>
        </w:tc>
        <w:tc>
          <w:tcPr>
            <w:tcW w:w="15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0"/>
              <w:ind w:right="45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(30.072.540)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0"/>
              <w:ind w:right="44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(25.921.805)</w:t>
            </w:r>
          </w:p>
        </w:tc>
      </w:tr>
      <w:tr>
        <w:trPr>
          <w:trHeight w:val="297" w:hRule="atLeast"/>
        </w:trPr>
        <w:tc>
          <w:tcPr>
            <w:tcW w:w="4546" w:type="dxa"/>
          </w:tcPr>
          <w:p>
            <w:pPr>
              <w:pStyle w:val="TableParagraph"/>
              <w:spacing w:before="38"/>
              <w:ind w:left="702"/>
              <w:rPr>
                <w:sz w:val="16"/>
              </w:rPr>
            </w:pPr>
            <w:r>
              <w:rPr>
                <w:w w:val="85"/>
                <w:sz w:val="16"/>
              </w:rPr>
              <w:t>Salários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38"/>
              <w:ind w:right="3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(16.864.937)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38"/>
              <w:ind w:right="3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(14.601.538)</w:t>
            </w:r>
          </w:p>
        </w:tc>
      </w:tr>
      <w:tr>
        <w:trPr>
          <w:trHeight w:val="305" w:hRule="atLeast"/>
        </w:trPr>
        <w:tc>
          <w:tcPr>
            <w:tcW w:w="4546" w:type="dxa"/>
          </w:tcPr>
          <w:p>
            <w:pPr>
              <w:pStyle w:val="TableParagraph"/>
              <w:spacing w:before="46"/>
              <w:ind w:left="702"/>
              <w:rPr>
                <w:sz w:val="16"/>
              </w:rPr>
            </w:pPr>
            <w:r>
              <w:rPr>
                <w:w w:val="90"/>
                <w:sz w:val="16"/>
              </w:rPr>
              <w:t>Encargos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46"/>
              <w:ind w:right="3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(10.320.927)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6"/>
              <w:ind w:right="3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(8.809.597)</w:t>
            </w:r>
          </w:p>
        </w:tc>
      </w:tr>
      <w:tr>
        <w:trPr>
          <w:trHeight w:val="305" w:hRule="atLeast"/>
        </w:trPr>
        <w:tc>
          <w:tcPr>
            <w:tcW w:w="4546" w:type="dxa"/>
          </w:tcPr>
          <w:p>
            <w:pPr>
              <w:pStyle w:val="TableParagraph"/>
              <w:spacing w:before="46"/>
              <w:ind w:left="703"/>
              <w:rPr>
                <w:sz w:val="16"/>
              </w:rPr>
            </w:pPr>
            <w:r>
              <w:rPr>
                <w:w w:val="90"/>
                <w:sz w:val="16"/>
              </w:rPr>
              <w:t>Adicionais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46"/>
              <w:ind w:right="3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(79.042)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(57.994)</w:t>
            </w:r>
          </w:p>
        </w:tc>
      </w:tr>
      <w:tr>
        <w:trPr>
          <w:trHeight w:val="305" w:hRule="atLeast"/>
        </w:trPr>
        <w:tc>
          <w:tcPr>
            <w:tcW w:w="4546" w:type="dxa"/>
          </w:tcPr>
          <w:p>
            <w:pPr>
              <w:pStyle w:val="TableParagraph"/>
              <w:spacing w:before="46"/>
              <w:ind w:left="703"/>
              <w:rPr>
                <w:sz w:val="16"/>
              </w:rPr>
            </w:pPr>
            <w:r>
              <w:rPr>
                <w:w w:val="85"/>
                <w:sz w:val="16"/>
              </w:rPr>
              <w:t>Benefícios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46"/>
              <w:ind w:right="3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(2.191.157)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6"/>
              <w:ind w:right="3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(1.921.573)</w:t>
            </w:r>
          </w:p>
        </w:tc>
      </w:tr>
      <w:tr>
        <w:trPr>
          <w:trHeight w:val="305" w:hRule="atLeast"/>
        </w:trPr>
        <w:tc>
          <w:tcPr>
            <w:tcW w:w="4546" w:type="dxa"/>
          </w:tcPr>
          <w:p>
            <w:pPr>
              <w:pStyle w:val="TableParagraph"/>
              <w:spacing w:before="46"/>
              <w:ind w:left="703"/>
              <w:rPr>
                <w:sz w:val="16"/>
              </w:rPr>
            </w:pPr>
            <w:r>
              <w:rPr>
                <w:w w:val="90"/>
                <w:sz w:val="16"/>
              </w:rPr>
              <w:t>Plano de Saúde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46"/>
              <w:ind w:right="35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(616.477)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(531.103)</w:t>
            </w:r>
          </w:p>
        </w:tc>
      </w:tr>
      <w:tr>
        <w:trPr>
          <w:trHeight w:val="305" w:hRule="atLeast"/>
        </w:trPr>
        <w:tc>
          <w:tcPr>
            <w:tcW w:w="4546" w:type="dxa"/>
          </w:tcPr>
          <w:p>
            <w:pPr>
              <w:pStyle w:val="TableParagraph"/>
              <w:spacing w:before="46"/>
              <w:ind w:left="485"/>
              <w:rPr>
                <w:sz w:val="16"/>
              </w:rPr>
            </w:pPr>
            <w:r>
              <w:rPr>
                <w:w w:val="85"/>
                <w:sz w:val="16"/>
              </w:rPr>
              <w:t>Tributárias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(243.808)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(230.537)</w:t>
            </w:r>
          </w:p>
        </w:tc>
      </w:tr>
      <w:tr>
        <w:trPr>
          <w:trHeight w:val="313" w:hRule="atLeast"/>
        </w:trPr>
        <w:tc>
          <w:tcPr>
            <w:tcW w:w="4546" w:type="dxa"/>
          </w:tcPr>
          <w:p>
            <w:pPr>
              <w:pStyle w:val="TableParagraph"/>
              <w:spacing w:before="46"/>
              <w:ind w:left="485"/>
              <w:rPr>
                <w:sz w:val="16"/>
              </w:rPr>
            </w:pPr>
            <w:r>
              <w:rPr>
                <w:w w:val="85"/>
                <w:sz w:val="16"/>
              </w:rPr>
              <w:t>Gerais</w:t>
            </w:r>
          </w:p>
        </w:tc>
        <w:tc>
          <w:tcPr>
            <w:tcW w:w="601" w:type="dxa"/>
          </w:tcPr>
          <w:p>
            <w:pPr>
              <w:pStyle w:val="TableParagraph"/>
              <w:spacing w:before="61"/>
              <w:ind w:left="155" w:right="16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22</w:t>
            </w:r>
          </w:p>
        </w:tc>
        <w:tc>
          <w:tcPr>
            <w:tcW w:w="1549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(68.597.418)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(54.396.823)</w:t>
            </w:r>
          </w:p>
        </w:tc>
      </w:tr>
      <w:tr>
        <w:trPr>
          <w:trHeight w:val="297" w:hRule="atLeast"/>
        </w:trPr>
        <w:tc>
          <w:tcPr>
            <w:tcW w:w="4546" w:type="dxa"/>
          </w:tcPr>
          <w:p>
            <w:pPr>
              <w:pStyle w:val="TableParagraph"/>
              <w:spacing w:before="38"/>
              <w:ind w:left="486"/>
              <w:rPr>
                <w:sz w:val="16"/>
              </w:rPr>
            </w:pPr>
            <w:r>
              <w:rPr>
                <w:spacing w:val="4"/>
                <w:w w:val="89"/>
                <w:sz w:val="16"/>
              </w:rPr>
              <w:t>D</w:t>
            </w:r>
            <w:r>
              <w:rPr>
                <w:spacing w:val="3"/>
                <w:w w:val="78"/>
                <w:sz w:val="16"/>
              </w:rPr>
              <w:t>e</w:t>
            </w:r>
            <w:r>
              <w:rPr>
                <w:spacing w:val="-7"/>
                <w:w w:val="87"/>
                <w:sz w:val="16"/>
              </w:rPr>
              <w:t>p</w:t>
            </w:r>
            <w:r>
              <w:rPr>
                <w:spacing w:val="2"/>
                <w:w w:val="77"/>
                <w:sz w:val="16"/>
              </w:rPr>
              <w:t>r</w:t>
            </w:r>
            <w:r>
              <w:rPr>
                <w:spacing w:val="3"/>
                <w:w w:val="78"/>
                <w:sz w:val="16"/>
              </w:rPr>
              <w:t>e</w:t>
            </w:r>
            <w:r>
              <w:rPr>
                <w:spacing w:val="-2"/>
                <w:w w:val="68"/>
                <w:sz w:val="16"/>
              </w:rPr>
              <w:t>c</w:t>
            </w:r>
            <w:r>
              <w:rPr>
                <w:spacing w:val="4"/>
                <w:w w:val="72"/>
                <w:sz w:val="16"/>
              </w:rPr>
              <w:t>i</w:t>
            </w:r>
            <w:r>
              <w:rPr>
                <w:spacing w:val="5"/>
                <w:w w:val="75"/>
                <w:sz w:val="16"/>
              </w:rPr>
              <w:t>a</w:t>
            </w:r>
            <w:r>
              <w:rPr>
                <w:spacing w:val="-2"/>
                <w:w w:val="68"/>
                <w:sz w:val="16"/>
              </w:rPr>
              <w:t>ç</w:t>
            </w:r>
            <w:r>
              <w:rPr>
                <w:spacing w:val="5"/>
                <w:w w:val="75"/>
                <w:sz w:val="16"/>
              </w:rPr>
              <w:t>ã</w:t>
            </w:r>
            <w:r>
              <w:rPr>
                <w:spacing w:val="-7"/>
                <w:w w:val="87"/>
                <w:sz w:val="16"/>
              </w:rPr>
              <w:t>o</w:t>
            </w:r>
            <w:r>
              <w:rPr>
                <w:spacing w:val="-5"/>
                <w:w w:val="139"/>
                <w:sz w:val="16"/>
              </w:rPr>
              <w:t>/</w:t>
            </w:r>
            <w:r>
              <w:rPr>
                <w:spacing w:val="-2"/>
                <w:w w:val="82"/>
                <w:sz w:val="16"/>
              </w:rPr>
              <w:t>A</w:t>
            </w:r>
            <w:r>
              <w:rPr>
                <w:spacing w:val="-7"/>
                <w:w w:val="85"/>
                <w:sz w:val="16"/>
              </w:rPr>
              <w:t>m</w:t>
            </w:r>
            <w:r>
              <w:rPr>
                <w:spacing w:val="-7"/>
                <w:w w:val="87"/>
                <w:sz w:val="16"/>
              </w:rPr>
              <w:t>o</w:t>
            </w:r>
            <w:r>
              <w:rPr>
                <w:spacing w:val="2"/>
                <w:w w:val="77"/>
                <w:sz w:val="16"/>
              </w:rPr>
              <w:t>r</w:t>
            </w:r>
            <w:r>
              <w:rPr>
                <w:spacing w:val="3"/>
                <w:w w:val="76"/>
                <w:sz w:val="16"/>
              </w:rPr>
              <w:t>t</w:t>
            </w:r>
            <w:r>
              <w:rPr>
                <w:spacing w:val="4"/>
                <w:w w:val="72"/>
                <w:sz w:val="16"/>
              </w:rPr>
              <w:t>i</w:t>
            </w:r>
            <w:r>
              <w:rPr>
                <w:w w:val="80"/>
                <w:sz w:val="16"/>
              </w:rPr>
              <w:t>z</w:t>
            </w:r>
            <w:r>
              <w:rPr>
                <w:spacing w:val="5"/>
                <w:w w:val="75"/>
                <w:sz w:val="16"/>
              </w:rPr>
              <w:t>a</w:t>
            </w:r>
            <w:r>
              <w:rPr>
                <w:spacing w:val="-2"/>
                <w:w w:val="68"/>
                <w:sz w:val="16"/>
              </w:rPr>
              <w:t>ç</w:t>
            </w:r>
            <w:r>
              <w:rPr>
                <w:spacing w:val="5"/>
                <w:w w:val="75"/>
                <w:sz w:val="16"/>
              </w:rPr>
              <w:t>ã</w:t>
            </w:r>
            <w:r>
              <w:rPr>
                <w:w w:val="87"/>
                <w:sz w:val="16"/>
              </w:rPr>
              <w:t>o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38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(5.736.194)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38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(4.616.916)</w:t>
            </w:r>
          </w:p>
        </w:tc>
      </w:tr>
      <w:tr>
        <w:trPr>
          <w:trHeight w:val="313" w:hRule="atLeast"/>
        </w:trPr>
        <w:tc>
          <w:tcPr>
            <w:tcW w:w="4546" w:type="dxa"/>
          </w:tcPr>
          <w:p>
            <w:pPr>
              <w:pStyle w:val="TableParagraph"/>
              <w:spacing w:before="46"/>
              <w:ind w:left="486"/>
              <w:rPr>
                <w:sz w:val="16"/>
              </w:rPr>
            </w:pPr>
            <w:r>
              <w:rPr>
                <w:w w:val="90"/>
                <w:sz w:val="16"/>
              </w:rPr>
              <w:t>Provisão para Perda</w:t>
            </w:r>
          </w:p>
        </w:tc>
        <w:tc>
          <w:tcPr>
            <w:tcW w:w="601" w:type="dxa"/>
          </w:tcPr>
          <w:p>
            <w:pPr>
              <w:pStyle w:val="TableParagraph"/>
              <w:spacing w:before="61"/>
              <w:ind w:left="155" w:right="15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23</w:t>
            </w:r>
          </w:p>
        </w:tc>
        <w:tc>
          <w:tcPr>
            <w:tcW w:w="1549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(12.351.077)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(12.348.564)</w:t>
            </w:r>
          </w:p>
        </w:tc>
      </w:tr>
      <w:tr>
        <w:trPr>
          <w:trHeight w:val="458" w:hRule="atLeast"/>
        </w:trPr>
        <w:tc>
          <w:tcPr>
            <w:tcW w:w="4546" w:type="dxa"/>
          </w:tcPr>
          <w:p>
            <w:pPr>
              <w:pStyle w:val="TableParagraph"/>
              <w:spacing w:before="38"/>
              <w:ind w:left="486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O</w:t>
            </w:r>
            <w:r>
              <w:rPr>
                <w:spacing w:val="-4"/>
                <w:w w:val="84"/>
                <w:sz w:val="16"/>
              </w:rPr>
              <w:t>u</w:t>
            </w:r>
            <w:r>
              <w:rPr>
                <w:spacing w:val="3"/>
                <w:w w:val="76"/>
                <w:sz w:val="16"/>
              </w:rPr>
              <w:t>t</w:t>
            </w:r>
            <w:r>
              <w:rPr>
                <w:spacing w:val="2"/>
                <w:w w:val="77"/>
                <w:sz w:val="16"/>
              </w:rPr>
              <w:t>r</w:t>
            </w:r>
            <w:r>
              <w:rPr>
                <w:spacing w:val="5"/>
                <w:w w:val="75"/>
                <w:sz w:val="16"/>
              </w:rPr>
              <w:t>a</w:t>
            </w:r>
            <w:r>
              <w:rPr>
                <w:w w:val="69"/>
                <w:sz w:val="16"/>
              </w:rPr>
              <w:t>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4"/>
                <w:w w:val="89"/>
                <w:sz w:val="16"/>
              </w:rPr>
              <w:t>D</w:t>
            </w:r>
            <w:r>
              <w:rPr>
                <w:spacing w:val="3"/>
                <w:w w:val="78"/>
                <w:sz w:val="16"/>
              </w:rPr>
              <w:t>e</w:t>
            </w:r>
            <w:r>
              <w:rPr>
                <w:spacing w:val="4"/>
                <w:w w:val="78"/>
                <w:sz w:val="16"/>
              </w:rPr>
              <w:t>s</w:t>
            </w:r>
            <w:r>
              <w:rPr>
                <w:spacing w:val="-7"/>
                <w:w w:val="78"/>
                <w:sz w:val="16"/>
              </w:rPr>
              <w:t>p</w:t>
            </w:r>
            <w:r>
              <w:rPr>
                <w:spacing w:val="3"/>
                <w:w w:val="78"/>
                <w:sz w:val="16"/>
              </w:rPr>
              <w:t>e</w:t>
            </w:r>
            <w:r>
              <w:rPr>
                <w:spacing w:val="4"/>
                <w:w w:val="69"/>
                <w:sz w:val="16"/>
              </w:rPr>
              <w:t>s</w:t>
            </w:r>
            <w:r>
              <w:rPr>
                <w:spacing w:val="5"/>
                <w:w w:val="75"/>
                <w:sz w:val="16"/>
              </w:rPr>
              <w:t>a</w:t>
            </w:r>
            <w:r>
              <w:rPr>
                <w:spacing w:val="4"/>
                <w:w w:val="69"/>
                <w:sz w:val="16"/>
              </w:rPr>
              <w:t>s</w:t>
            </w:r>
            <w:r>
              <w:rPr>
                <w:spacing w:val="-5"/>
                <w:w w:val="139"/>
                <w:sz w:val="16"/>
              </w:rPr>
              <w:t>/</w:t>
            </w:r>
            <w:r>
              <w:rPr>
                <w:spacing w:val="6"/>
                <w:w w:val="76"/>
                <w:sz w:val="16"/>
              </w:rPr>
              <w:t>R</w:t>
            </w:r>
            <w:r>
              <w:rPr>
                <w:spacing w:val="3"/>
                <w:w w:val="78"/>
                <w:sz w:val="16"/>
              </w:rPr>
              <w:t>e</w:t>
            </w:r>
            <w:r>
              <w:rPr>
                <w:spacing w:val="-2"/>
                <w:w w:val="68"/>
                <w:sz w:val="16"/>
              </w:rPr>
              <w:t>c</w:t>
            </w:r>
            <w:r>
              <w:rPr>
                <w:spacing w:val="3"/>
                <w:w w:val="78"/>
                <w:sz w:val="16"/>
              </w:rPr>
              <w:t>e</w:t>
            </w:r>
            <w:r>
              <w:rPr>
                <w:spacing w:val="4"/>
                <w:w w:val="72"/>
                <w:sz w:val="16"/>
              </w:rPr>
              <w:t>i</w:t>
            </w:r>
            <w:r>
              <w:rPr>
                <w:spacing w:val="3"/>
                <w:w w:val="76"/>
                <w:sz w:val="16"/>
              </w:rPr>
              <w:t>t</w:t>
            </w:r>
            <w:r>
              <w:rPr>
                <w:spacing w:val="5"/>
                <w:w w:val="75"/>
                <w:sz w:val="16"/>
              </w:rPr>
              <w:t>a</w:t>
            </w:r>
            <w:r>
              <w:rPr>
                <w:w w:val="69"/>
                <w:sz w:val="16"/>
              </w:rPr>
              <w:t>s</w:t>
            </w:r>
          </w:p>
        </w:tc>
        <w:tc>
          <w:tcPr>
            <w:tcW w:w="601" w:type="dxa"/>
          </w:tcPr>
          <w:p>
            <w:pPr>
              <w:pStyle w:val="TableParagraph"/>
              <w:spacing w:before="54"/>
              <w:ind w:left="155" w:right="15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24</w:t>
            </w:r>
          </w:p>
        </w:tc>
        <w:tc>
          <w:tcPr>
            <w:tcW w:w="1549" w:type="dxa"/>
          </w:tcPr>
          <w:p>
            <w:pPr>
              <w:pStyle w:val="TableParagraph"/>
              <w:spacing w:before="38"/>
              <w:ind w:right="83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13.363.284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38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(8.121.354)</w:t>
            </w:r>
          </w:p>
        </w:tc>
      </w:tr>
      <w:tr>
        <w:trPr>
          <w:trHeight w:val="441" w:hRule="atLeast"/>
        </w:trPr>
        <w:tc>
          <w:tcPr>
            <w:tcW w:w="4546" w:type="dxa"/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spacing w:before="1"/>
              <w:ind w:left="51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w w:val="95"/>
                <w:sz w:val="16"/>
              </w:rPr>
              <w:t>Resultado Financeiro Líquido</w:t>
            </w:r>
          </w:p>
        </w:tc>
        <w:tc>
          <w:tcPr>
            <w:tcW w:w="601" w:type="dxa"/>
          </w:tcPr>
          <w:p>
            <w:pPr>
              <w:pStyle w:val="TableParagraph"/>
              <w:spacing w:before="191"/>
              <w:ind w:left="155" w:right="15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25</w:t>
            </w:r>
          </w:p>
        </w:tc>
        <w:tc>
          <w:tcPr>
            <w:tcW w:w="15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26.657.696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>
            <w:pPr>
              <w:pStyle w:val="TableParagraph"/>
              <w:spacing w:before="1"/>
              <w:ind w:right="43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(87.222.794)</w:t>
            </w:r>
          </w:p>
        </w:tc>
      </w:tr>
      <w:tr>
        <w:trPr>
          <w:trHeight w:val="293" w:hRule="atLeast"/>
        </w:trPr>
        <w:tc>
          <w:tcPr>
            <w:tcW w:w="4546" w:type="dxa"/>
          </w:tcPr>
          <w:p>
            <w:pPr>
              <w:pStyle w:val="TableParagraph"/>
              <w:spacing w:before="34"/>
              <w:ind w:left="269"/>
              <w:rPr>
                <w:sz w:val="16"/>
              </w:rPr>
            </w:pPr>
            <w:r>
              <w:rPr>
                <w:w w:val="85"/>
                <w:sz w:val="16"/>
              </w:rPr>
              <w:t>Receitas Financeiras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right="83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151.161.998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right="83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122.356.040</w:t>
            </w:r>
          </w:p>
        </w:tc>
      </w:tr>
      <w:tr>
        <w:trPr>
          <w:trHeight w:val="464" w:hRule="atLeast"/>
        </w:trPr>
        <w:tc>
          <w:tcPr>
            <w:tcW w:w="4546" w:type="dxa"/>
          </w:tcPr>
          <w:p>
            <w:pPr>
              <w:pStyle w:val="TableParagraph"/>
              <w:spacing w:before="46"/>
              <w:ind w:left="269"/>
              <w:rPr>
                <w:sz w:val="16"/>
              </w:rPr>
            </w:pPr>
            <w:r>
              <w:rPr>
                <w:w w:val="85"/>
                <w:sz w:val="16"/>
              </w:rPr>
              <w:t>Despesas Financeiras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(124.504.302)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(209.578.834)</w:t>
            </w:r>
          </w:p>
        </w:tc>
      </w:tr>
      <w:tr>
        <w:trPr>
          <w:trHeight w:val="443" w:hRule="atLeast"/>
        </w:trPr>
        <w:tc>
          <w:tcPr>
            <w:tcW w:w="4546" w:type="dxa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51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90"/>
                <w:sz w:val="16"/>
              </w:rPr>
              <w:t>Resultado</w:t>
            </w:r>
            <w:r>
              <w:rPr>
                <w:rFonts w:ascii="Verdana"/>
                <w:b/>
                <w:spacing w:val="-31"/>
                <w:w w:val="90"/>
                <w:sz w:val="16"/>
              </w:rPr>
              <w:t> </w:t>
            </w:r>
            <w:r>
              <w:rPr>
                <w:rFonts w:ascii="Verdana"/>
                <w:b/>
                <w:w w:val="90"/>
                <w:sz w:val="16"/>
              </w:rPr>
              <w:t>Operacional</w:t>
            </w:r>
            <w:r>
              <w:rPr>
                <w:rFonts w:ascii="Verdana"/>
                <w:b/>
                <w:spacing w:val="-34"/>
                <w:w w:val="90"/>
                <w:sz w:val="16"/>
              </w:rPr>
              <w:t> </w:t>
            </w:r>
            <w:r>
              <w:rPr>
                <w:rFonts w:ascii="Verdana"/>
                <w:b/>
                <w:w w:val="90"/>
                <w:sz w:val="16"/>
              </w:rPr>
              <w:t>antes</w:t>
            </w:r>
            <w:r>
              <w:rPr>
                <w:rFonts w:ascii="Verdana"/>
                <w:b/>
                <w:spacing w:val="-31"/>
                <w:w w:val="90"/>
                <w:sz w:val="16"/>
              </w:rPr>
              <w:t> </w:t>
            </w:r>
            <w:r>
              <w:rPr>
                <w:rFonts w:ascii="Verdana"/>
                <w:b/>
                <w:w w:val="90"/>
                <w:sz w:val="16"/>
              </w:rPr>
              <w:t>dos</w:t>
            </w:r>
            <w:r>
              <w:rPr>
                <w:rFonts w:ascii="Verdana"/>
                <w:b/>
                <w:spacing w:val="-31"/>
                <w:w w:val="90"/>
                <w:sz w:val="16"/>
              </w:rPr>
              <w:t> </w:t>
            </w:r>
            <w:r>
              <w:rPr>
                <w:rFonts w:ascii="Verdana"/>
                <w:b/>
                <w:w w:val="90"/>
                <w:sz w:val="16"/>
              </w:rPr>
              <w:t>Impostos</w:t>
            </w:r>
            <w:r>
              <w:rPr>
                <w:rFonts w:ascii="Verdana"/>
                <w:b/>
                <w:spacing w:val="-31"/>
                <w:w w:val="90"/>
                <w:sz w:val="16"/>
              </w:rPr>
              <w:t> </w:t>
            </w:r>
            <w:r>
              <w:rPr>
                <w:rFonts w:ascii="Verdana"/>
                <w:b/>
                <w:w w:val="90"/>
                <w:sz w:val="16"/>
              </w:rPr>
              <w:t>sobre</w:t>
            </w:r>
            <w:r>
              <w:rPr>
                <w:rFonts w:ascii="Verdana"/>
                <w:b/>
                <w:spacing w:val="-32"/>
                <w:w w:val="90"/>
                <w:sz w:val="16"/>
              </w:rPr>
              <w:t> </w:t>
            </w:r>
            <w:r>
              <w:rPr>
                <w:rFonts w:ascii="Verdana"/>
                <w:b/>
                <w:w w:val="90"/>
                <w:sz w:val="16"/>
              </w:rPr>
              <w:t>o</w:t>
            </w:r>
            <w:r>
              <w:rPr>
                <w:rFonts w:ascii="Verdana"/>
                <w:b/>
                <w:spacing w:val="-31"/>
                <w:w w:val="90"/>
                <w:sz w:val="16"/>
              </w:rPr>
              <w:t> </w:t>
            </w:r>
            <w:r>
              <w:rPr>
                <w:rFonts w:ascii="Verdana"/>
                <w:b/>
                <w:w w:val="90"/>
                <w:sz w:val="16"/>
              </w:rPr>
              <w:t>Lucro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ind w:right="97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185.527.552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ind w:right="97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2.043.563</w:t>
            </w:r>
          </w:p>
        </w:tc>
      </w:tr>
      <w:tr>
        <w:trPr>
          <w:trHeight w:val="293" w:hRule="atLeast"/>
        </w:trPr>
        <w:tc>
          <w:tcPr>
            <w:tcW w:w="4546" w:type="dxa"/>
          </w:tcPr>
          <w:p>
            <w:pPr>
              <w:pStyle w:val="TableParagraph"/>
              <w:spacing w:before="34"/>
              <w:ind w:left="269"/>
              <w:rPr>
                <w:sz w:val="16"/>
              </w:rPr>
            </w:pPr>
            <w:r>
              <w:rPr>
                <w:w w:val="90"/>
                <w:sz w:val="16"/>
              </w:rPr>
              <w:t>IRPJ sobre o Lucro</w:t>
            </w:r>
          </w:p>
        </w:tc>
        <w:tc>
          <w:tcPr>
            <w:tcW w:w="601" w:type="dxa"/>
          </w:tcPr>
          <w:p>
            <w:pPr>
              <w:pStyle w:val="TableParagraph"/>
              <w:spacing w:before="34"/>
              <w:ind w:left="155" w:right="1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26</w:t>
            </w:r>
          </w:p>
        </w:tc>
        <w:tc>
          <w:tcPr>
            <w:tcW w:w="15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(32.653.757)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right="33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(16.965.504)</w:t>
            </w:r>
          </w:p>
        </w:tc>
      </w:tr>
      <w:tr>
        <w:trPr>
          <w:trHeight w:val="602" w:hRule="atLeast"/>
        </w:trPr>
        <w:tc>
          <w:tcPr>
            <w:tcW w:w="4546" w:type="dxa"/>
          </w:tcPr>
          <w:p>
            <w:pPr>
              <w:pStyle w:val="TableParagraph"/>
              <w:spacing w:before="46"/>
              <w:ind w:left="269"/>
              <w:rPr>
                <w:sz w:val="16"/>
              </w:rPr>
            </w:pPr>
            <w:r>
              <w:rPr>
                <w:w w:val="90"/>
                <w:sz w:val="16"/>
              </w:rPr>
              <w:t>CSLL sobre o Lucro</w:t>
            </w:r>
          </w:p>
        </w:tc>
        <w:tc>
          <w:tcPr>
            <w:tcW w:w="601" w:type="dxa"/>
          </w:tcPr>
          <w:p>
            <w:pPr>
              <w:pStyle w:val="TableParagraph"/>
              <w:spacing w:before="46"/>
              <w:ind w:left="155" w:right="1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26</w:t>
            </w:r>
          </w:p>
        </w:tc>
        <w:tc>
          <w:tcPr>
            <w:tcW w:w="15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4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(8.956.952)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33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(6.107.749)</w:t>
            </w:r>
          </w:p>
        </w:tc>
      </w:tr>
      <w:tr>
        <w:trPr>
          <w:trHeight w:val="280" w:hRule="atLeast"/>
        </w:trPr>
        <w:tc>
          <w:tcPr>
            <w:tcW w:w="4546" w:type="dxa"/>
          </w:tcPr>
          <w:p>
            <w:pPr>
              <w:pStyle w:val="TableParagraph"/>
              <w:spacing w:before="49"/>
              <w:ind w:left="51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w w:val="95"/>
                <w:sz w:val="16"/>
              </w:rPr>
              <w:t>Resultado Líquido do Exercício</w:t>
            </w:r>
          </w:p>
        </w:tc>
        <w:tc>
          <w:tcPr>
            <w:tcW w:w="601" w:type="dxa"/>
          </w:tcPr>
          <w:p>
            <w:pPr>
              <w:pStyle w:val="TableParagraph"/>
              <w:spacing w:line="219" w:lineRule="exact" w:before="34"/>
              <w:ind w:left="155" w:right="14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27</w:t>
            </w:r>
          </w:p>
        </w:tc>
        <w:tc>
          <w:tcPr>
            <w:tcW w:w="15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9"/>
              <w:ind w:right="39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80"/>
                <w:sz w:val="16"/>
              </w:rPr>
              <w:t>143.916.843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49"/>
              <w:ind w:right="43"/>
              <w:jc w:val="righ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w w:val="75"/>
                <w:sz w:val="16"/>
              </w:rPr>
              <w:t>(21.029.691)</w:t>
            </w:r>
          </w:p>
        </w:tc>
      </w:tr>
    </w:tbl>
    <w:p>
      <w:pPr>
        <w:spacing w:before="29"/>
        <w:ind w:left="216" w:right="0" w:firstLine="0"/>
        <w:jc w:val="left"/>
        <w:rPr>
          <w:rFonts w:ascii="Arial Black" w:hAnsi="Arial Black"/>
          <w:sz w:val="16"/>
        </w:rPr>
      </w:pPr>
      <w:r>
        <w:rPr/>
        <w:pict>
          <v:line style="position:absolute;mso-position-horizontal-relative:page;mso-position-vertical-relative:paragraph;z-index:15738880" from="438.377075pt,-1.921892pt" to="523.086126pt,-1.921892pt" stroked="true" strokeweight="0pt" strokecolor="#000000">
            <v:stroke dashstyle="solid"/>
            <w10:wrap type="none"/>
          </v:line>
        </w:pict>
      </w:r>
      <w:r>
        <w:rPr>
          <w:rFonts w:ascii="Arial Black" w:hAnsi="Arial Black"/>
          <w:w w:val="90"/>
          <w:sz w:val="16"/>
        </w:rPr>
        <w:t>As notas explicativas são parte integrante das demonstrações contábeis.</w:t>
      </w:r>
    </w:p>
    <w:p>
      <w:pPr>
        <w:pStyle w:val="BodyText"/>
        <w:spacing w:before="9"/>
        <w:rPr>
          <w:rFonts w:ascii="Arial Black"/>
          <w:sz w:val="16"/>
        </w:rPr>
      </w:pPr>
    </w:p>
    <w:p>
      <w:pPr>
        <w:spacing w:line="367" w:lineRule="auto" w:before="108"/>
        <w:ind w:left="167" w:right="4712" w:firstLine="0"/>
        <w:jc w:val="left"/>
        <w:rPr>
          <w:rFonts w:ascii="Arial Black" w:hAnsi="Arial Black"/>
          <w:sz w:val="16"/>
        </w:rPr>
      </w:pPr>
      <w:r>
        <w:rPr/>
        <w:pict>
          <v:shape style="position:absolute;margin-left:67.886703pt;margin-top:50.770103pt;width:453.3pt;height:118.8pt;mso-position-horizontal-relative:page;mso-position-vertical-relative:paragraph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65"/>
                    <w:gridCol w:w="1284"/>
                    <w:gridCol w:w="461"/>
                    <w:gridCol w:w="1755"/>
                  </w:tblGrid>
                  <w:tr>
                    <w:trPr>
                      <w:trHeight w:val="275" w:hRule="atLeast"/>
                    </w:trPr>
                    <w:tc>
                      <w:tcPr>
                        <w:tcW w:w="6849" w:type="dxa"/>
                        <w:gridSpan w:val="2"/>
                      </w:tcPr>
                      <w:p>
                        <w:pPr>
                          <w:pStyle w:val="TableParagraph"/>
                          <w:spacing w:before="7"/>
                          <w:ind w:right="682"/>
                          <w:jc w:val="righ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0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2216" w:type="dxa"/>
                        <w:gridSpan w:val="2"/>
                      </w:tcPr>
                      <w:p>
                        <w:pPr>
                          <w:pStyle w:val="TableParagraph"/>
                          <w:spacing w:before="7"/>
                          <w:ind w:left="1160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95"/>
                            <w:sz w:val="16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556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Verdana" w:hAns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  <w:sz w:val="16"/>
                          </w:rPr>
                          <w:t>Resultado Líquido do Exercício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43"/>
                          <w:jc w:val="righ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0"/>
                            <w:sz w:val="16"/>
                          </w:rPr>
                          <w:t>143.916.843</w:t>
                        </w: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0"/>
                            <w:sz w:val="16"/>
                          </w:rPr>
                          <w:t>(21.029.691)</w:t>
                        </w: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5565" w:type="dxa"/>
                      </w:tcPr>
                      <w:p>
                        <w:pPr>
                          <w:pStyle w:val="TableParagraph"/>
                          <w:spacing w:before="50"/>
                          <w:ind w:left="585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95"/>
                            <w:sz w:val="16"/>
                          </w:rPr>
                          <w:t>(+/-) Outros Resultados Abrangentes</w:t>
                        </w:r>
                      </w:p>
                      <w:p>
                        <w:pPr>
                          <w:pStyle w:val="TableParagraph"/>
                          <w:spacing w:before="95"/>
                          <w:ind w:left="49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Ajustes de Instrumentos Financeiros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047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6"/>
                            <w:sz w:val="1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5"/>
                          <w:ind w:left="1047"/>
                          <w:rPr>
                            <w:sz w:val="16"/>
                          </w:rPr>
                        </w:pPr>
                        <w:r>
                          <w:rPr>
                            <w:w w:val="122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1459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6"/>
                            <w:sz w:val="1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95"/>
                          <w:ind w:left="1474"/>
                          <w:rPr>
                            <w:sz w:val="16"/>
                          </w:rPr>
                        </w:pPr>
                        <w:r>
                          <w:rPr>
                            <w:w w:val="122"/>
                            <w:sz w:val="16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565" w:type="dxa"/>
                      </w:tcPr>
                      <w:p>
                        <w:pPr>
                          <w:pStyle w:val="TableParagraph"/>
                          <w:spacing w:before="50"/>
                          <w:ind w:left="50"/>
                          <w:rPr>
                            <w:rFonts w:ascii="Verdana" w:hAns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  <w:sz w:val="16"/>
                          </w:rPr>
                          <w:t>Resultado Abrangente do Exercício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43"/>
                          <w:jc w:val="righ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0"/>
                            <w:sz w:val="16"/>
                          </w:rPr>
                          <w:t>143.916.843</w:t>
                        </w: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8" w:space="0" w:color="000000"/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46"/>
                          <w:jc w:val="righ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0"/>
                            <w:sz w:val="16"/>
                          </w:rPr>
                          <w:t>(21.029.691)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556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As notas explicativas são parte integrante das demonstrações contábeis.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w w:val="95"/>
          <w:sz w:val="16"/>
        </w:rPr>
        <w:t>DEMONSTRAÇÃO DO RESULTADO ABRANGENTE </w:t>
      </w:r>
      <w:r>
        <w:rPr>
          <w:rFonts w:ascii="Verdana" w:hAnsi="Verdana"/>
          <w:b/>
          <w:spacing w:val="-3"/>
          <w:w w:val="90"/>
          <w:sz w:val="16"/>
        </w:rPr>
        <w:t>EXERCÍCIOS</w:t>
      </w:r>
      <w:r>
        <w:rPr>
          <w:rFonts w:ascii="Verdana" w:hAnsi="Verdana"/>
          <w:b/>
          <w:spacing w:val="-32"/>
          <w:w w:val="90"/>
          <w:sz w:val="16"/>
        </w:rPr>
        <w:t> </w:t>
      </w:r>
      <w:r>
        <w:rPr>
          <w:rFonts w:ascii="Verdana" w:hAnsi="Verdana"/>
          <w:b/>
          <w:w w:val="90"/>
          <w:sz w:val="16"/>
        </w:rPr>
        <w:t>FINDOS</w:t>
      </w:r>
      <w:r>
        <w:rPr>
          <w:rFonts w:ascii="Verdana" w:hAnsi="Verdana"/>
          <w:b/>
          <w:spacing w:val="-32"/>
          <w:w w:val="90"/>
          <w:sz w:val="16"/>
        </w:rPr>
        <w:t> </w:t>
      </w:r>
      <w:r>
        <w:rPr>
          <w:rFonts w:ascii="Verdana" w:hAnsi="Verdana"/>
          <w:b/>
          <w:w w:val="90"/>
          <w:sz w:val="16"/>
        </w:rPr>
        <w:t>EM</w:t>
      </w:r>
      <w:r>
        <w:rPr>
          <w:rFonts w:ascii="Verdana" w:hAnsi="Verdana"/>
          <w:b/>
          <w:spacing w:val="-27"/>
          <w:w w:val="90"/>
          <w:sz w:val="16"/>
        </w:rPr>
        <w:t> </w:t>
      </w:r>
      <w:r>
        <w:rPr>
          <w:rFonts w:ascii="Verdana" w:hAnsi="Verdana"/>
          <w:b/>
          <w:spacing w:val="-3"/>
          <w:w w:val="90"/>
          <w:sz w:val="16"/>
        </w:rPr>
        <w:t>31</w:t>
      </w:r>
      <w:r>
        <w:rPr>
          <w:rFonts w:ascii="Verdana" w:hAnsi="Verdana"/>
          <w:b/>
          <w:spacing w:val="-33"/>
          <w:w w:val="90"/>
          <w:sz w:val="16"/>
        </w:rPr>
        <w:t> </w:t>
      </w:r>
      <w:r>
        <w:rPr>
          <w:rFonts w:ascii="Verdana" w:hAnsi="Verdana"/>
          <w:b/>
          <w:w w:val="90"/>
          <w:sz w:val="16"/>
        </w:rPr>
        <w:t>DE</w:t>
      </w:r>
      <w:r>
        <w:rPr>
          <w:rFonts w:ascii="Verdana" w:hAnsi="Verdana"/>
          <w:b/>
          <w:spacing w:val="-29"/>
          <w:w w:val="90"/>
          <w:sz w:val="16"/>
        </w:rPr>
        <w:t> </w:t>
      </w:r>
      <w:r>
        <w:rPr>
          <w:rFonts w:ascii="Verdana" w:hAnsi="Verdana"/>
          <w:b/>
          <w:w w:val="90"/>
          <w:sz w:val="16"/>
        </w:rPr>
        <w:t>DEZEMBRO</w:t>
      </w:r>
      <w:r>
        <w:rPr>
          <w:rFonts w:ascii="Verdana" w:hAnsi="Verdana"/>
          <w:b/>
          <w:spacing w:val="-33"/>
          <w:w w:val="90"/>
          <w:sz w:val="16"/>
        </w:rPr>
        <w:t> </w:t>
      </w:r>
      <w:r>
        <w:rPr>
          <w:rFonts w:ascii="Verdana" w:hAnsi="Verdana"/>
          <w:b/>
          <w:w w:val="90"/>
          <w:sz w:val="16"/>
        </w:rPr>
        <w:t>DE</w:t>
      </w:r>
      <w:r>
        <w:rPr>
          <w:rFonts w:ascii="Verdana" w:hAnsi="Verdana"/>
          <w:b/>
          <w:spacing w:val="-30"/>
          <w:w w:val="90"/>
          <w:sz w:val="16"/>
        </w:rPr>
        <w:t> </w:t>
      </w:r>
      <w:r>
        <w:rPr>
          <w:rFonts w:ascii="Verdana" w:hAnsi="Verdana"/>
          <w:b/>
          <w:spacing w:val="-4"/>
          <w:w w:val="90"/>
          <w:sz w:val="16"/>
        </w:rPr>
        <w:t>2019</w:t>
      </w:r>
      <w:r>
        <w:rPr>
          <w:rFonts w:ascii="Verdana" w:hAnsi="Verdana"/>
          <w:b/>
          <w:spacing w:val="-32"/>
          <w:w w:val="90"/>
          <w:sz w:val="16"/>
        </w:rPr>
        <w:t> </w:t>
      </w:r>
      <w:r>
        <w:rPr>
          <w:rFonts w:ascii="Verdana" w:hAnsi="Verdana"/>
          <w:b/>
          <w:w w:val="90"/>
          <w:sz w:val="16"/>
        </w:rPr>
        <w:t>E</w:t>
      </w:r>
      <w:r>
        <w:rPr>
          <w:rFonts w:ascii="Verdana" w:hAnsi="Verdana"/>
          <w:b/>
          <w:spacing w:val="-30"/>
          <w:w w:val="90"/>
          <w:sz w:val="16"/>
        </w:rPr>
        <w:t> </w:t>
      </w:r>
      <w:r>
        <w:rPr>
          <w:rFonts w:ascii="Verdana" w:hAnsi="Verdana"/>
          <w:b/>
          <w:spacing w:val="-5"/>
          <w:w w:val="90"/>
          <w:sz w:val="16"/>
        </w:rPr>
        <w:t>2018 </w:t>
      </w:r>
      <w:r>
        <w:rPr>
          <w:rFonts w:ascii="Arial Black" w:hAnsi="Arial Black"/>
          <w:w w:val="95"/>
          <w:sz w:val="16"/>
        </w:rPr>
        <w:t>(EM </w:t>
      </w:r>
      <w:r>
        <w:rPr>
          <w:rFonts w:ascii="Arial Black" w:hAnsi="Arial Black"/>
          <w:spacing w:val="3"/>
          <w:w w:val="95"/>
          <w:sz w:val="16"/>
        </w:rPr>
        <w:t>R$</w:t>
      </w:r>
      <w:r>
        <w:rPr>
          <w:rFonts w:ascii="Arial Black" w:hAnsi="Arial Black"/>
          <w:spacing w:val="-12"/>
          <w:w w:val="95"/>
          <w:sz w:val="16"/>
        </w:rPr>
        <w:t> </w:t>
      </w:r>
      <w:r>
        <w:rPr>
          <w:rFonts w:ascii="Arial Black" w:hAnsi="Arial Black"/>
          <w:w w:val="95"/>
          <w:sz w:val="16"/>
        </w:rPr>
        <w:t>1)</w:t>
      </w:r>
    </w:p>
    <w:p>
      <w:pPr>
        <w:pStyle w:val="BodyText"/>
        <w:spacing w:before="4"/>
        <w:rPr>
          <w:rFonts w:ascii="Arial Black"/>
          <w:sz w:val="12"/>
        </w:rPr>
      </w:pPr>
      <w:r>
        <w:rPr/>
        <w:pict>
          <v:rect style="position:absolute;margin-left:324.040985pt;margin-top:10.615859pt;width:86.287pt;height:1.525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33.386993pt;margin-top:10.61486pt;width:87.775pt;height:1.525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"/>
        <w:rPr>
          <w:rFonts w:ascii="Arial Black"/>
          <w:sz w:val="23"/>
        </w:rPr>
      </w:pPr>
      <w:r>
        <w:rPr/>
        <w:pict>
          <v:group style="position:absolute;margin-left:324.040009pt;margin-top:18.773546pt;width:86.3pt;height:.8pt;mso-position-horizontal-relative:page;mso-position-vertical-relative:paragraph;z-index:-15718912;mso-wrap-distance-left:0;mso-wrap-distance-right:0" coordorigin="6481,375" coordsize="1726,16">
            <v:line style="position:absolute" from="6481,375" to="8207,375" stroked="true" strokeweight="0pt" strokecolor="#000000">
              <v:stroke dashstyle="solid"/>
            </v:line>
            <v:rect style="position:absolute;left:6480;top:375;width:1726;height:16" filled="true" fillcolor="#000000" stroked="false">
              <v:fill type="solid"/>
            </v:rect>
            <w10:wrap type="topAndBottom"/>
          </v:group>
        </w:pict>
      </w:r>
    </w:p>
    <w:p>
      <w:pPr>
        <w:spacing w:after="0"/>
        <w:rPr>
          <w:rFonts w:ascii="Arial Black"/>
          <w:sz w:val="23"/>
        </w:rPr>
        <w:sectPr>
          <w:pgSz w:w="11910" w:h="16840"/>
          <w:pgMar w:header="593" w:footer="546" w:top="1280" w:bottom="740" w:left="1240" w:right="1340"/>
        </w:sectPr>
      </w:pPr>
    </w:p>
    <w:p>
      <w:pPr>
        <w:spacing w:line="223" w:lineRule="exact" w:before="59"/>
        <w:ind w:left="3875" w:right="0" w:firstLine="0"/>
        <w:jc w:val="left"/>
        <w:rPr>
          <w:rFonts w:ascii="Arial" w:hAnsi="Arial"/>
          <w:sz w:val="17"/>
        </w:rPr>
      </w:pPr>
      <w:r>
        <w:rPr>
          <w:rFonts w:ascii="Roboto" w:hAnsi="Roboto"/>
          <w:b w:val="0"/>
          <w:color w:val="575756"/>
          <w:sz w:val="17"/>
        </w:rPr>
        <w:t>NOTAS EXPLICATIVAS ÀS DEMONSTRAÇÕES CONTÁBEIS | </w:t>
      </w:r>
      <w:r>
        <w:rPr>
          <w:rFonts w:ascii="Arial" w:hAnsi="Arial"/>
          <w:color w:val="575756"/>
          <w:sz w:val="17"/>
        </w:rPr>
        <w:t>Exercícios findos em 31 de dezembro de 2019 e 2018</w:t>
      </w:r>
    </w:p>
    <w:p>
      <w:pPr>
        <w:spacing w:line="195" w:lineRule="exact" w:before="0"/>
        <w:ind w:left="0" w:right="119" w:firstLine="0"/>
        <w:jc w:val="right"/>
        <w:rPr>
          <w:rFonts w:ascii="Arial"/>
          <w:sz w:val="17"/>
        </w:rPr>
      </w:pPr>
      <w:r>
        <w:rPr>
          <w:rFonts w:ascii="Arial"/>
          <w:color w:val="575756"/>
          <w:sz w:val="17"/>
        </w:rPr>
        <w:t>(Em reais, exceto quando indicado)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21"/>
          <w:footerReference w:type="default" r:id="rId22"/>
          <w:pgSz w:w="16840" w:h="11910" w:orient="landscape"/>
          <w:pgMar w:header="0" w:footer="495" w:top="460" w:bottom="680" w:left="2420" w:right="1340"/>
        </w:sectPr>
      </w:pPr>
    </w:p>
    <w:p>
      <w:pPr>
        <w:pStyle w:val="BodyText"/>
        <w:spacing w:before="7"/>
        <w:rPr>
          <w:rFonts w:ascii="Arial"/>
          <w:sz w:val="20"/>
        </w:rPr>
      </w:pPr>
    </w:p>
    <w:p>
      <w:pPr>
        <w:spacing w:line="369" w:lineRule="auto" w:before="0"/>
        <w:ind w:left="893" w:right="0" w:firstLine="0"/>
        <w:jc w:val="left"/>
        <w:rPr>
          <w:rFonts w:ascii="Arial Black" w:hAnsi="Arial Black"/>
          <w:sz w:val="14"/>
        </w:rPr>
      </w:pPr>
      <w:r>
        <w:rPr>
          <w:rFonts w:ascii="Verdana" w:hAnsi="Verdana"/>
          <w:b/>
          <w:w w:val="90"/>
          <w:sz w:val="14"/>
        </w:rPr>
        <w:t>DEMONSTRAÇÃO DAS MUTAÇÕES DO PATRIMÔNIO </w:t>
      </w:r>
      <w:r>
        <w:rPr>
          <w:rFonts w:ascii="Verdana" w:hAnsi="Verdana"/>
          <w:b/>
          <w:spacing w:val="-3"/>
          <w:w w:val="90"/>
          <w:sz w:val="14"/>
        </w:rPr>
        <w:t>LÍQUIDO </w:t>
      </w:r>
      <w:r>
        <w:rPr>
          <w:rFonts w:ascii="Verdana" w:hAnsi="Verdana"/>
          <w:b/>
          <w:spacing w:val="-3"/>
          <w:w w:val="95"/>
          <w:sz w:val="14"/>
        </w:rPr>
        <w:t>EXERCÍCIOS</w:t>
      </w:r>
      <w:r>
        <w:rPr>
          <w:rFonts w:ascii="Verdana" w:hAnsi="Verdana"/>
          <w:b/>
          <w:spacing w:val="-26"/>
          <w:w w:val="95"/>
          <w:sz w:val="14"/>
        </w:rPr>
        <w:t> </w:t>
      </w:r>
      <w:r>
        <w:rPr>
          <w:rFonts w:ascii="Verdana" w:hAnsi="Verdana"/>
          <w:b/>
          <w:w w:val="95"/>
          <w:sz w:val="14"/>
        </w:rPr>
        <w:t>FINDOS</w:t>
      </w:r>
      <w:r>
        <w:rPr>
          <w:rFonts w:ascii="Verdana" w:hAnsi="Verdana"/>
          <w:b/>
          <w:spacing w:val="-26"/>
          <w:w w:val="95"/>
          <w:sz w:val="14"/>
        </w:rPr>
        <w:t> </w:t>
      </w:r>
      <w:r>
        <w:rPr>
          <w:rFonts w:ascii="Verdana" w:hAnsi="Verdana"/>
          <w:b/>
          <w:w w:val="95"/>
          <w:sz w:val="14"/>
        </w:rPr>
        <w:t>EM</w:t>
      </w:r>
      <w:r>
        <w:rPr>
          <w:rFonts w:ascii="Verdana" w:hAnsi="Verdana"/>
          <w:b/>
          <w:spacing w:val="-21"/>
          <w:w w:val="95"/>
          <w:sz w:val="14"/>
        </w:rPr>
        <w:t> </w:t>
      </w:r>
      <w:r>
        <w:rPr>
          <w:rFonts w:ascii="Verdana" w:hAnsi="Verdana"/>
          <w:b/>
          <w:spacing w:val="-3"/>
          <w:w w:val="95"/>
          <w:sz w:val="14"/>
        </w:rPr>
        <w:t>31</w:t>
      </w:r>
      <w:r>
        <w:rPr>
          <w:rFonts w:ascii="Verdana" w:hAnsi="Verdana"/>
          <w:b/>
          <w:spacing w:val="-27"/>
          <w:w w:val="95"/>
          <w:sz w:val="14"/>
        </w:rPr>
        <w:t> </w:t>
      </w:r>
      <w:r>
        <w:rPr>
          <w:rFonts w:ascii="Verdana" w:hAnsi="Verdana"/>
          <w:b/>
          <w:w w:val="95"/>
          <w:sz w:val="14"/>
        </w:rPr>
        <w:t>DE</w:t>
      </w:r>
      <w:r>
        <w:rPr>
          <w:rFonts w:ascii="Verdana" w:hAnsi="Verdana"/>
          <w:b/>
          <w:spacing w:val="-24"/>
          <w:w w:val="95"/>
          <w:sz w:val="14"/>
        </w:rPr>
        <w:t> </w:t>
      </w:r>
      <w:r>
        <w:rPr>
          <w:rFonts w:ascii="Verdana" w:hAnsi="Verdana"/>
          <w:b/>
          <w:w w:val="95"/>
          <w:sz w:val="14"/>
        </w:rPr>
        <w:t>DEZEMBRO</w:t>
      </w:r>
      <w:r>
        <w:rPr>
          <w:rFonts w:ascii="Verdana" w:hAnsi="Verdana"/>
          <w:b/>
          <w:spacing w:val="-27"/>
          <w:w w:val="95"/>
          <w:sz w:val="14"/>
        </w:rPr>
        <w:t> </w:t>
      </w:r>
      <w:r>
        <w:rPr>
          <w:rFonts w:ascii="Verdana" w:hAnsi="Verdana"/>
          <w:b/>
          <w:w w:val="95"/>
          <w:sz w:val="14"/>
        </w:rPr>
        <w:t>DE</w:t>
      </w:r>
      <w:r>
        <w:rPr>
          <w:rFonts w:ascii="Verdana" w:hAnsi="Verdana"/>
          <w:b/>
          <w:spacing w:val="-24"/>
          <w:w w:val="95"/>
          <w:sz w:val="14"/>
        </w:rPr>
        <w:t> </w:t>
      </w:r>
      <w:r>
        <w:rPr>
          <w:rFonts w:ascii="Verdana" w:hAnsi="Verdana"/>
          <w:b/>
          <w:spacing w:val="-4"/>
          <w:w w:val="95"/>
          <w:sz w:val="14"/>
        </w:rPr>
        <w:t>2019</w:t>
      </w:r>
      <w:r>
        <w:rPr>
          <w:rFonts w:ascii="Verdana" w:hAnsi="Verdana"/>
          <w:b/>
          <w:spacing w:val="-27"/>
          <w:w w:val="95"/>
          <w:sz w:val="14"/>
        </w:rPr>
        <w:t> </w:t>
      </w:r>
      <w:r>
        <w:rPr>
          <w:rFonts w:ascii="Verdana" w:hAnsi="Verdana"/>
          <w:b/>
          <w:w w:val="95"/>
          <w:sz w:val="14"/>
        </w:rPr>
        <w:t>E</w:t>
      </w:r>
      <w:r>
        <w:rPr>
          <w:rFonts w:ascii="Verdana" w:hAnsi="Verdana"/>
          <w:b/>
          <w:spacing w:val="-24"/>
          <w:w w:val="95"/>
          <w:sz w:val="14"/>
        </w:rPr>
        <w:t> </w:t>
      </w:r>
      <w:r>
        <w:rPr>
          <w:rFonts w:ascii="Verdana" w:hAnsi="Verdana"/>
          <w:b/>
          <w:spacing w:val="-5"/>
          <w:w w:val="95"/>
          <w:sz w:val="14"/>
        </w:rPr>
        <w:t>2018 </w:t>
      </w:r>
      <w:r>
        <w:rPr>
          <w:rFonts w:ascii="Arial Black" w:hAnsi="Arial Black"/>
          <w:sz w:val="14"/>
        </w:rPr>
        <w:t>(EM </w:t>
      </w:r>
      <w:r>
        <w:rPr>
          <w:rFonts w:ascii="Arial Black" w:hAnsi="Arial Black"/>
          <w:spacing w:val="2"/>
          <w:sz w:val="14"/>
        </w:rPr>
        <w:t>R$</w:t>
      </w:r>
      <w:r>
        <w:rPr>
          <w:rFonts w:ascii="Arial Black" w:hAnsi="Arial Black"/>
          <w:spacing w:val="-14"/>
          <w:sz w:val="14"/>
        </w:rPr>
        <w:t> </w:t>
      </w:r>
      <w:r>
        <w:rPr>
          <w:rFonts w:ascii="Arial Black" w:hAnsi="Arial Black"/>
          <w:sz w:val="14"/>
        </w:rPr>
        <w:t>1)</w:t>
      </w:r>
    </w:p>
    <w:p>
      <w:pPr>
        <w:pStyle w:val="BodyText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sz w:val="18"/>
        </w:rPr>
      </w:r>
    </w:p>
    <w:p>
      <w:pPr>
        <w:pStyle w:val="BodyText"/>
        <w:rPr>
          <w:rFonts w:ascii="Arial Black"/>
          <w:sz w:val="18"/>
        </w:rPr>
      </w:pPr>
    </w:p>
    <w:p>
      <w:pPr>
        <w:pStyle w:val="BodyText"/>
        <w:rPr>
          <w:rFonts w:ascii="Arial Black"/>
          <w:sz w:val="18"/>
        </w:rPr>
      </w:pPr>
    </w:p>
    <w:p>
      <w:pPr>
        <w:pStyle w:val="BodyText"/>
        <w:spacing w:before="8"/>
        <w:rPr>
          <w:rFonts w:ascii="Arial Black"/>
          <w:sz w:val="23"/>
        </w:rPr>
      </w:pPr>
    </w:p>
    <w:p>
      <w:pPr>
        <w:spacing w:line="87" w:lineRule="exact" w:before="1"/>
        <w:ind w:left="-5" w:right="0" w:firstLine="0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b/>
          <w:w w:val="85"/>
          <w:sz w:val="14"/>
        </w:rPr>
        <w:t>Prejuízos</w:t>
      </w:r>
    </w:p>
    <w:p>
      <w:pPr>
        <w:pStyle w:val="BodyText"/>
        <w:rPr>
          <w:rFonts w:ascii="Verdana"/>
          <w:b/>
          <w:sz w:val="18"/>
        </w:rPr>
      </w:pPr>
      <w:r>
        <w:rPr/>
        <w:br w:type="column"/>
      </w:r>
      <w:r>
        <w:rPr>
          <w:rFonts w:ascii="Verdana"/>
          <w:b/>
          <w:sz w:val="18"/>
        </w:rPr>
      </w: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spacing w:before="126"/>
        <w:ind w:left="893" w:right="0" w:firstLine="0"/>
        <w:jc w:val="left"/>
        <w:rPr>
          <w:rFonts w:ascii="Verdana"/>
          <w:b/>
          <w:sz w:val="14"/>
        </w:rPr>
      </w:pPr>
      <w:r>
        <w:rPr>
          <w:rFonts w:ascii="Verdana"/>
          <w:b/>
          <w:sz w:val="14"/>
        </w:rPr>
        <w:t>Outros</w:t>
      </w:r>
    </w:p>
    <w:p>
      <w:pPr>
        <w:spacing w:after="0"/>
        <w:jc w:val="left"/>
        <w:rPr>
          <w:rFonts w:ascii="Verdana"/>
          <w:sz w:val="14"/>
        </w:rPr>
        <w:sectPr>
          <w:type w:val="continuous"/>
          <w:pgSz w:w="16840" w:h="11910" w:orient="landscape"/>
          <w:pgMar w:top="1580" w:bottom="0" w:left="2420" w:right="1340"/>
          <w:cols w:num="3" w:equalWidth="0">
            <w:col w:w="5174" w:space="40"/>
            <w:col w:w="664" w:space="1306"/>
            <w:col w:w="5896"/>
          </w:cols>
        </w:sectPr>
      </w:pPr>
    </w:p>
    <w:p>
      <w:pPr>
        <w:spacing w:before="7"/>
        <w:ind w:left="0" w:right="0" w:firstLine="0"/>
        <w:jc w:val="right"/>
        <w:rPr>
          <w:rFonts w:ascii="Verdana"/>
          <w:b/>
          <w:sz w:val="14"/>
        </w:rPr>
      </w:pPr>
      <w:r>
        <w:rPr>
          <w:rFonts w:ascii="Verdana"/>
          <w:b/>
          <w:w w:val="85"/>
          <w:sz w:val="14"/>
        </w:rPr>
        <w:t>Capital Social</w:t>
      </w:r>
    </w:p>
    <w:p>
      <w:pPr>
        <w:tabs>
          <w:tab w:pos="2169" w:val="left" w:leader="none"/>
        </w:tabs>
        <w:spacing w:line="177" w:lineRule="exact" w:before="11"/>
        <w:ind w:left="521" w:right="0" w:firstLine="0"/>
        <w:jc w:val="left"/>
        <w:rPr>
          <w:rFonts w:ascii="Verdana"/>
          <w:b/>
          <w:sz w:val="14"/>
        </w:rPr>
      </w:pPr>
      <w:r>
        <w:rPr/>
        <w:br w:type="column"/>
      </w:r>
      <w:r>
        <w:rPr>
          <w:rFonts w:ascii="Verdana"/>
          <w:b/>
          <w:w w:val="95"/>
          <w:sz w:val="14"/>
        </w:rPr>
        <w:t>Acumulados</w:t>
        <w:tab/>
      </w:r>
      <w:r>
        <w:rPr>
          <w:rFonts w:ascii="Verdana"/>
          <w:b/>
          <w:w w:val="90"/>
          <w:position w:val="9"/>
          <w:sz w:val="14"/>
        </w:rPr>
        <w:t>AFAC</w:t>
      </w:r>
    </w:p>
    <w:p>
      <w:pPr>
        <w:spacing w:before="7"/>
        <w:ind w:left="762" w:right="0" w:firstLine="0"/>
        <w:jc w:val="left"/>
        <w:rPr>
          <w:rFonts w:ascii="Verdana"/>
          <w:b/>
          <w:sz w:val="14"/>
        </w:rPr>
      </w:pPr>
      <w:r>
        <w:rPr/>
        <w:br w:type="column"/>
      </w:r>
      <w:r>
        <w:rPr>
          <w:rFonts w:ascii="Verdana"/>
          <w:b/>
          <w:w w:val="85"/>
          <w:sz w:val="14"/>
        </w:rPr>
        <w:t>Resultados</w:t>
      </w:r>
    </w:p>
    <w:p>
      <w:pPr>
        <w:spacing w:before="7"/>
        <w:ind w:left="900" w:right="0" w:firstLine="0"/>
        <w:jc w:val="left"/>
        <w:rPr>
          <w:rFonts w:ascii="Verdana"/>
          <w:b/>
          <w:sz w:val="14"/>
        </w:rPr>
      </w:pPr>
      <w:r>
        <w:rPr/>
        <w:br w:type="column"/>
      </w:r>
      <w:r>
        <w:rPr>
          <w:rFonts w:ascii="Verdana"/>
          <w:b/>
          <w:sz w:val="14"/>
        </w:rPr>
        <w:t>Total</w:t>
      </w:r>
    </w:p>
    <w:p>
      <w:pPr>
        <w:spacing w:after="0"/>
        <w:jc w:val="left"/>
        <w:rPr>
          <w:rFonts w:ascii="Verdana"/>
          <w:sz w:val="14"/>
        </w:rPr>
        <w:sectPr>
          <w:type w:val="continuous"/>
          <w:pgSz w:w="16840" w:h="11910" w:orient="landscape"/>
          <w:pgMar w:top="1580" w:bottom="0" w:left="2420" w:right="1340"/>
          <w:cols w:num="4" w:equalWidth="0">
            <w:col w:w="4528" w:space="40"/>
            <w:col w:w="2561" w:space="39"/>
            <w:col w:w="1525" w:space="39"/>
            <w:col w:w="4348"/>
          </w:cols>
        </w:sectPr>
      </w:pPr>
    </w:p>
    <w:p>
      <w:pPr>
        <w:tabs>
          <w:tab w:pos="7555" w:val="left" w:leader="none"/>
          <w:tab w:pos="9136" w:val="left" w:leader="none"/>
          <w:tab w:pos="10476" w:val="left" w:leader="none"/>
        </w:tabs>
        <w:spacing w:before="7" w:after="4"/>
        <w:ind w:left="6322" w:right="0" w:firstLine="0"/>
        <w:jc w:val="left"/>
        <w:rPr>
          <w:rFonts w:ascii="Verdana"/>
          <w:b/>
          <w:sz w:val="14"/>
        </w:rPr>
      </w:pPr>
      <w:r>
        <w:rPr/>
        <w:pict>
          <v:line style="position:absolute;mso-position-horizontal-relative:page;mso-position-vertical-relative:paragraph;z-index:-17090560" from="365.392914pt,22.120079pt" to="429.059065pt,22.120079pt" stroked="true" strokeweight="0pt" strokecolor="#000000">
            <v:stroke dashstyle="solid"/>
            <w10:wrap type="none"/>
          </v:line>
        </w:pict>
      </w:r>
      <w:r>
        <w:rPr/>
        <w:pict>
          <v:group style="position:absolute;margin-left:437.101013pt;margin-top:22.120079pt;width:61.7pt;height:1.35pt;mso-position-horizontal-relative:page;mso-position-vertical-relative:paragraph;z-index:-17090048" coordorigin="8742,442" coordsize="1234,27">
            <v:line style="position:absolute" from="8742,442" to="9975,442" stroked="true" strokeweight="0pt" strokecolor="#000000">
              <v:stroke dashstyle="solid"/>
            </v:line>
            <v:rect style="position:absolute;left:8742;top:442;width:1234;height:14" filled="true" fillcolor="#000000" stroked="false">
              <v:fill type="solid"/>
            </v:rect>
            <v:line style="position:absolute" from="8742,469" to="9975,469" stroked="true" strokeweight="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06.798767pt;margin-top:22.120079pt;width:59.65pt;height:1.35pt;mso-position-horizontal-relative:page;mso-position-vertical-relative:paragraph;z-index:-17089536" coordorigin="10136,442" coordsize="1193,27">
            <v:line style="position:absolute" from="10136,442" to="11329,442" stroked="true" strokeweight="0pt" strokecolor="#000000">
              <v:stroke dashstyle="solid"/>
            </v:line>
            <v:rect style="position:absolute;left:10135;top:442;width:1193;height:14" filled="true" fillcolor="#000000" stroked="false">
              <v:fill type="solid"/>
            </v:rect>
            <v:line style="position:absolute" from="10136,469" to="11329,469" stroked="true" strokeweight="0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083392" from="577.836792pt,22.120079pt" to="644.853793pt,22.120079pt" stroked="true" strokeweight="0pt" strokecolor="#000000">
            <v:stroke dashstyle="solid"/>
            <w10:wrap type="none"/>
          </v:line>
        </w:pict>
      </w:r>
      <w:r>
        <w:rPr>
          <w:rFonts w:ascii="Verdana"/>
          <w:b/>
          <w:w w:val="85"/>
          <w:sz w:val="14"/>
          <w:u w:val="single"/>
        </w:rPr>
        <w:t> </w:t>
      </w:r>
      <w:r>
        <w:rPr>
          <w:rFonts w:ascii="Verdana"/>
          <w:b/>
          <w:sz w:val="14"/>
          <w:u w:val="single"/>
        </w:rPr>
        <w:tab/>
      </w:r>
      <w:r>
        <w:rPr>
          <w:rFonts w:ascii="Verdana"/>
          <w:b/>
          <w:sz w:val="14"/>
        </w:rPr>
        <w:t>  </w:t>
      </w:r>
      <w:r>
        <w:rPr>
          <w:rFonts w:ascii="Verdana"/>
          <w:b/>
          <w:spacing w:val="17"/>
          <w:sz w:val="14"/>
        </w:rPr>
        <w:t> </w:t>
      </w:r>
      <w:r>
        <w:rPr>
          <w:rFonts w:ascii="Verdana"/>
          <w:b/>
          <w:w w:val="85"/>
          <w:sz w:val="14"/>
          <w:u w:val="single"/>
        </w:rPr>
        <w:t> </w:t>
      </w:r>
      <w:r>
        <w:rPr>
          <w:rFonts w:ascii="Verdana"/>
          <w:b/>
          <w:sz w:val="14"/>
          <w:u w:val="single"/>
        </w:rPr>
        <w:t> </w:t>
      </w:r>
      <w:r>
        <w:rPr>
          <w:rFonts w:ascii="Verdana"/>
          <w:b/>
          <w:spacing w:val="10"/>
          <w:sz w:val="14"/>
          <w:u w:val="single"/>
        </w:rPr>
        <w:t> </w:t>
      </w:r>
      <w:r>
        <w:rPr>
          <w:rFonts w:ascii="Verdana"/>
          <w:b/>
          <w:sz w:val="14"/>
          <w:u w:val="single"/>
        </w:rPr>
        <w:t>Abrangentes  </w:t>
      </w:r>
      <w:r>
        <w:rPr>
          <w:rFonts w:ascii="Verdana"/>
          <w:b/>
          <w:spacing w:val="6"/>
          <w:sz w:val="14"/>
          <w:u w:val="single"/>
        </w:rPr>
        <w:t> </w:t>
      </w:r>
      <w:r>
        <w:rPr>
          <w:rFonts w:ascii="Verdana"/>
          <w:b/>
          <w:sz w:val="14"/>
        </w:rPr>
        <w:tab/>
      </w:r>
      <w:r>
        <w:rPr>
          <w:rFonts w:ascii="Verdana"/>
          <w:b/>
          <w:w w:val="85"/>
          <w:sz w:val="14"/>
          <w:u w:val="single"/>
        </w:rPr>
        <w:t> </w:t>
      </w:r>
      <w:r>
        <w:rPr>
          <w:rFonts w:ascii="Verdana"/>
          <w:b/>
          <w:sz w:val="14"/>
          <w:u w:val="single"/>
        </w:rPr>
        <w:tab/>
      </w:r>
    </w:p>
    <w:tbl>
      <w:tblPr>
        <w:tblW w:w="0" w:type="auto"/>
        <w:jc w:val="left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1354"/>
        <w:gridCol w:w="148"/>
        <w:gridCol w:w="1274"/>
        <w:gridCol w:w="162"/>
        <w:gridCol w:w="2588"/>
        <w:gridCol w:w="229"/>
        <w:gridCol w:w="1341"/>
      </w:tblGrid>
      <w:tr>
        <w:trPr>
          <w:trHeight w:val="251" w:hRule="atLeast"/>
        </w:trPr>
        <w:tc>
          <w:tcPr>
            <w:tcW w:w="2543" w:type="dxa"/>
          </w:tcPr>
          <w:p>
            <w:pPr>
              <w:pStyle w:val="TableParagraph"/>
              <w:spacing w:before="46"/>
              <w:ind w:left="50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EM 31 DE DEZEMBRO DE 2017</w:t>
            </w:r>
          </w:p>
        </w:tc>
        <w:tc>
          <w:tcPr>
            <w:tcW w:w="13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right="92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5"/>
                <w:sz w:val="14"/>
              </w:rPr>
              <w:t>713.702.556</w:t>
            </w: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right="43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0"/>
                <w:sz w:val="14"/>
              </w:rPr>
              <w:t>(392.967.444)</w:t>
            </w:r>
          </w:p>
        </w:tc>
        <w:tc>
          <w:tcPr>
            <w:tcW w:w="1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8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353" w:val="left" w:leader="none"/>
              </w:tabs>
              <w:spacing w:before="46"/>
              <w:ind w:right="208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-</w:t>
              <w:tab/>
            </w:r>
            <w:r>
              <w:rPr>
                <w:rFonts w:ascii="Verdana"/>
                <w:b/>
                <w:w w:val="85"/>
                <w:sz w:val="14"/>
              </w:rPr>
              <w:t>-</w:t>
            </w:r>
          </w:p>
        </w:tc>
        <w:tc>
          <w:tcPr>
            <w:tcW w:w="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46"/>
              <w:ind w:right="98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5"/>
                <w:sz w:val="14"/>
              </w:rPr>
              <w:t>320.735.112</w:t>
            </w:r>
          </w:p>
        </w:tc>
      </w:tr>
      <w:tr>
        <w:trPr>
          <w:trHeight w:val="256" w:hRule="atLeast"/>
        </w:trPr>
        <w:tc>
          <w:tcPr>
            <w:tcW w:w="2543" w:type="dxa"/>
          </w:tcPr>
          <w:p>
            <w:pPr>
              <w:pStyle w:val="TableParagraph"/>
              <w:spacing w:before="24"/>
              <w:ind w:left="50"/>
              <w:rPr>
                <w:sz w:val="14"/>
              </w:rPr>
            </w:pPr>
            <w:r>
              <w:rPr>
                <w:spacing w:val="-3"/>
                <w:w w:val="74"/>
                <w:sz w:val="14"/>
              </w:rPr>
              <w:t>L</w:t>
            </w:r>
            <w:r>
              <w:rPr>
                <w:spacing w:val="-4"/>
                <w:w w:val="89"/>
                <w:sz w:val="14"/>
              </w:rPr>
              <w:t>u</w:t>
            </w:r>
            <w:r>
              <w:rPr>
                <w:spacing w:val="-2"/>
                <w:w w:val="72"/>
                <w:sz w:val="14"/>
              </w:rPr>
              <w:t>c</w:t>
            </w:r>
            <w:r>
              <w:rPr>
                <w:spacing w:val="2"/>
                <w:w w:val="82"/>
                <w:sz w:val="14"/>
              </w:rPr>
              <w:t>r</w:t>
            </w:r>
            <w:r>
              <w:rPr>
                <w:spacing w:val="-6"/>
                <w:w w:val="92"/>
                <w:sz w:val="14"/>
              </w:rPr>
              <w:t>o</w:t>
            </w:r>
            <w:r>
              <w:rPr>
                <w:spacing w:val="4"/>
                <w:w w:val="73"/>
                <w:sz w:val="14"/>
              </w:rPr>
              <w:t>s</w:t>
            </w:r>
            <w:r>
              <w:rPr>
                <w:spacing w:val="-4"/>
                <w:w w:val="147"/>
                <w:sz w:val="14"/>
              </w:rPr>
              <w:t>/</w:t>
            </w:r>
            <w:r>
              <w:rPr>
                <w:spacing w:val="-3"/>
                <w:w w:val="81"/>
                <w:sz w:val="14"/>
              </w:rPr>
              <w:t>P</w:t>
            </w:r>
            <w:r>
              <w:rPr>
                <w:spacing w:val="2"/>
                <w:w w:val="82"/>
                <w:sz w:val="14"/>
              </w:rPr>
              <w:t>r</w:t>
            </w:r>
            <w:r>
              <w:rPr>
                <w:spacing w:val="3"/>
                <w:w w:val="82"/>
                <w:sz w:val="14"/>
              </w:rPr>
              <w:t>e</w:t>
            </w:r>
            <w:r>
              <w:rPr>
                <w:spacing w:val="4"/>
                <w:w w:val="85"/>
                <w:sz w:val="14"/>
              </w:rPr>
              <w:t>j</w:t>
            </w:r>
            <w:r>
              <w:rPr>
                <w:spacing w:val="-4"/>
                <w:w w:val="85"/>
                <w:sz w:val="14"/>
              </w:rPr>
              <w:t>u</w:t>
            </w:r>
            <w:r>
              <w:rPr>
                <w:spacing w:val="4"/>
                <w:w w:val="82"/>
                <w:sz w:val="14"/>
              </w:rPr>
              <w:t>í</w:t>
            </w:r>
            <w:r>
              <w:rPr>
                <w:w w:val="82"/>
                <w:sz w:val="14"/>
              </w:rPr>
              <w:t>z</w:t>
            </w:r>
            <w:r>
              <w:rPr>
                <w:spacing w:val="-6"/>
                <w:w w:val="92"/>
                <w:sz w:val="14"/>
              </w:rPr>
              <w:t>o</w:t>
            </w:r>
            <w:r>
              <w:rPr>
                <w:w w:val="73"/>
                <w:sz w:val="14"/>
              </w:rPr>
              <w:t>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3"/>
                <w:w w:val="74"/>
                <w:sz w:val="14"/>
              </w:rPr>
              <w:t>L</w:t>
            </w:r>
            <w:r>
              <w:rPr>
                <w:spacing w:val="4"/>
                <w:w w:val="87"/>
                <w:sz w:val="14"/>
              </w:rPr>
              <w:t>í</w:t>
            </w:r>
            <w:r>
              <w:rPr>
                <w:spacing w:val="-7"/>
                <w:w w:val="87"/>
                <w:sz w:val="14"/>
              </w:rPr>
              <w:t>q</w:t>
            </w:r>
            <w:r>
              <w:rPr>
                <w:spacing w:val="-4"/>
                <w:w w:val="89"/>
                <w:sz w:val="14"/>
              </w:rPr>
              <w:t>u</w:t>
            </w:r>
            <w:r>
              <w:rPr>
                <w:spacing w:val="4"/>
                <w:w w:val="87"/>
                <w:sz w:val="14"/>
              </w:rPr>
              <w:t>i</w:t>
            </w:r>
            <w:r>
              <w:rPr>
                <w:spacing w:val="-7"/>
                <w:w w:val="87"/>
                <w:sz w:val="14"/>
              </w:rPr>
              <w:t>d</w:t>
            </w:r>
            <w:r>
              <w:rPr>
                <w:w w:val="92"/>
                <w:sz w:val="14"/>
              </w:rPr>
              <w:t>o</w:t>
            </w:r>
          </w:p>
        </w:tc>
        <w:tc>
          <w:tcPr>
            <w:tcW w:w="13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right="192"/>
              <w:jc w:val="right"/>
              <w:rPr>
                <w:sz w:val="14"/>
              </w:rPr>
            </w:pPr>
            <w:r>
              <w:rPr>
                <w:w w:val="126"/>
                <w:sz w:val="14"/>
              </w:rPr>
              <w:t>-</w:t>
            </w: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right="35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(21.029.691)</w:t>
            </w:r>
          </w:p>
        </w:tc>
        <w:tc>
          <w:tcPr>
            <w:tcW w:w="1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8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353" w:val="left" w:leader="none"/>
              </w:tabs>
              <w:spacing w:before="4"/>
              <w:ind w:right="196"/>
              <w:jc w:val="right"/>
              <w:rPr>
                <w:sz w:val="14"/>
              </w:rPr>
            </w:pPr>
            <w:r>
              <w:rPr>
                <w:w w:val="125"/>
                <w:sz w:val="14"/>
              </w:rPr>
              <w:t>-</w:t>
              <w:tab/>
              <w:t>-</w:t>
            </w:r>
          </w:p>
        </w:tc>
        <w:tc>
          <w:tcPr>
            <w:tcW w:w="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1" w:type="dxa"/>
            <w:tcBorders>
              <w:top w:val="double" w:sz="2" w:space="0" w:color="000000"/>
            </w:tcBorders>
          </w:tcPr>
          <w:p>
            <w:pPr>
              <w:pStyle w:val="TableParagraph"/>
              <w:spacing w:before="17"/>
              <w:ind w:right="39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(21.029.691)</w:t>
            </w:r>
          </w:p>
        </w:tc>
      </w:tr>
      <w:tr>
        <w:trPr>
          <w:trHeight w:val="248" w:hRule="atLeast"/>
        </w:trPr>
        <w:tc>
          <w:tcPr>
            <w:tcW w:w="2543" w:type="dxa"/>
          </w:tcPr>
          <w:p>
            <w:pPr>
              <w:pStyle w:val="TableParagraph"/>
              <w:spacing w:before="55"/>
              <w:ind w:left="50"/>
              <w:rPr>
                <w:rFonts w:ascii="Verdana" w:hAnsi="Verdana"/>
                <w:b/>
                <w:sz w:val="14"/>
              </w:rPr>
            </w:pPr>
            <w:r>
              <w:rPr>
                <w:rFonts w:ascii="Verdana" w:hAnsi="Verdana"/>
                <w:b/>
                <w:sz w:val="14"/>
              </w:rPr>
              <w:t>Resultado Líquido do Exercício</w:t>
            </w:r>
          </w:p>
        </w:tc>
        <w:tc>
          <w:tcPr>
            <w:tcW w:w="1354" w:type="dxa"/>
          </w:tcPr>
          <w:p>
            <w:pPr>
              <w:pStyle w:val="TableParagraph"/>
              <w:spacing w:before="55"/>
              <w:ind w:right="205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8"/>
                <w:sz w:val="14"/>
              </w:rPr>
              <w:t>-</w:t>
            </w: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55"/>
              <w:ind w:right="43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0"/>
                <w:sz w:val="14"/>
              </w:rPr>
              <w:t>(21.029.691)</w:t>
            </w:r>
          </w:p>
        </w:tc>
        <w:tc>
          <w:tcPr>
            <w:tcW w:w="1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tabs>
                <w:tab w:pos="1353" w:val="left" w:leader="none"/>
              </w:tabs>
              <w:spacing w:before="55"/>
              <w:ind w:right="208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-</w:t>
              <w:tab/>
            </w:r>
            <w:r>
              <w:rPr>
                <w:rFonts w:ascii="Verdana"/>
                <w:b/>
                <w:w w:val="85"/>
                <w:sz w:val="14"/>
              </w:rPr>
              <w:t>-</w:t>
            </w:r>
          </w:p>
        </w:tc>
        <w:tc>
          <w:tcPr>
            <w:tcW w:w="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1" w:type="dxa"/>
          </w:tcPr>
          <w:p>
            <w:pPr>
              <w:pStyle w:val="TableParagraph"/>
              <w:spacing w:before="55"/>
              <w:ind w:right="48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0"/>
                <w:sz w:val="14"/>
              </w:rPr>
              <w:t>(21.029.691)</w:t>
            </w:r>
          </w:p>
        </w:tc>
      </w:tr>
      <w:tr>
        <w:trPr>
          <w:trHeight w:val="395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 w:before="25"/>
              <w:ind w:left="50"/>
              <w:rPr>
                <w:sz w:val="14"/>
              </w:rPr>
            </w:pPr>
            <w:r>
              <w:rPr>
                <w:w w:val="85"/>
                <w:sz w:val="14"/>
              </w:rPr>
              <w:t>Transferência de AFAC recebido em 2017 do Passivo não Circulante para</w:t>
            </w:r>
          </w:p>
        </w:tc>
        <w:tc>
          <w:tcPr>
            <w:tcW w:w="1354" w:type="dxa"/>
          </w:tcPr>
          <w:p>
            <w:pPr>
              <w:pStyle w:val="TableParagraph"/>
              <w:spacing w:before="2"/>
              <w:rPr>
                <w:rFonts w:ascii="Verdana"/>
                <w:b/>
                <w:sz w:val="17"/>
              </w:rPr>
            </w:pPr>
          </w:p>
          <w:p>
            <w:pPr>
              <w:pStyle w:val="TableParagraph"/>
              <w:spacing w:line="167" w:lineRule="exact"/>
              <w:ind w:right="73"/>
              <w:jc w:val="right"/>
              <w:rPr>
                <w:sz w:val="14"/>
              </w:rPr>
            </w:pPr>
            <w:r>
              <w:rPr>
                <w:w w:val="126"/>
                <w:sz w:val="14"/>
              </w:rPr>
              <w:t>-</w:t>
            </w: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before="2"/>
              <w:rPr>
                <w:rFonts w:ascii="Verdana"/>
                <w:b/>
                <w:sz w:val="17"/>
              </w:rPr>
            </w:pPr>
          </w:p>
          <w:p>
            <w:pPr>
              <w:pStyle w:val="TableParagraph"/>
              <w:spacing w:line="167" w:lineRule="exact"/>
              <w:ind w:right="194"/>
              <w:jc w:val="right"/>
              <w:rPr>
                <w:sz w:val="14"/>
              </w:rPr>
            </w:pPr>
            <w:r>
              <w:rPr>
                <w:w w:val="126"/>
                <w:sz w:val="14"/>
              </w:rPr>
              <w:t>-</w:t>
            </w:r>
          </w:p>
        </w:tc>
        <w:tc>
          <w:tcPr>
            <w:tcW w:w="1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spacing w:before="2"/>
              <w:rPr>
                <w:rFonts w:ascii="Verdana"/>
                <w:b/>
                <w:sz w:val="17"/>
              </w:rPr>
            </w:pPr>
          </w:p>
          <w:p>
            <w:pPr>
              <w:pStyle w:val="TableParagraph"/>
              <w:tabs>
                <w:tab w:pos="1864" w:val="left" w:leader="none"/>
              </w:tabs>
              <w:spacing w:line="167" w:lineRule="exact"/>
              <w:ind w:right="208"/>
              <w:jc w:val="right"/>
              <w:rPr>
                <w:rFonts w:ascii="Verdana"/>
                <w:b/>
                <w:sz w:val="14"/>
              </w:rPr>
            </w:pPr>
            <w:r>
              <w:rPr>
                <w:w w:val="85"/>
                <w:sz w:val="14"/>
              </w:rPr>
              <w:t>26.000.000</w:t>
              <w:tab/>
            </w:r>
            <w:r>
              <w:rPr>
                <w:rFonts w:ascii="Verdana"/>
                <w:b/>
                <w:w w:val="85"/>
                <w:sz w:val="14"/>
              </w:rPr>
              <w:t>-</w:t>
            </w:r>
          </w:p>
        </w:tc>
        <w:tc>
          <w:tcPr>
            <w:tcW w:w="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1" w:type="dxa"/>
          </w:tcPr>
          <w:p>
            <w:pPr>
              <w:pStyle w:val="TableParagraph"/>
              <w:spacing w:before="2"/>
              <w:rPr>
                <w:rFonts w:ascii="Verdana"/>
                <w:b/>
                <w:sz w:val="17"/>
              </w:rPr>
            </w:pPr>
          </w:p>
          <w:p>
            <w:pPr>
              <w:pStyle w:val="TableParagraph"/>
              <w:spacing w:line="167" w:lineRule="exact"/>
              <w:ind w:right="84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26.000.000</w:t>
            </w:r>
          </w:p>
        </w:tc>
      </w:tr>
      <w:tr>
        <w:trPr>
          <w:trHeight w:val="186" w:hRule="atLeast"/>
        </w:trPr>
        <w:tc>
          <w:tcPr>
            <w:tcW w:w="2543" w:type="dxa"/>
          </w:tcPr>
          <w:p>
            <w:pPr>
              <w:pStyle w:val="TableParagraph"/>
              <w:spacing w:line="167" w:lineRule="exact"/>
              <w:ind w:left="50"/>
              <w:rPr>
                <w:sz w:val="14"/>
              </w:rPr>
            </w:pPr>
            <w:r>
              <w:rPr>
                <w:w w:val="95"/>
                <w:sz w:val="14"/>
              </w:rPr>
              <w:t>o PL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8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line="228" w:lineRule="auto" w:before="4"/>
        <w:ind w:left="893" w:right="9710" w:firstLine="0"/>
        <w:jc w:val="left"/>
        <w:rPr>
          <w:rFonts w:ascii="Arial Black" w:hAnsi="Arial Black"/>
          <w:sz w:val="14"/>
        </w:rPr>
      </w:pPr>
      <w:r>
        <w:rPr/>
        <w:pict>
          <v:shape style="position:absolute;margin-left:312.630005pt;margin-top:4.256752pt;width:331pt;height:60.2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7"/>
                    <w:gridCol w:w="711"/>
                    <w:gridCol w:w="2091"/>
                    <w:gridCol w:w="1376"/>
                    <w:gridCol w:w="997"/>
                  </w:tblGrid>
                  <w:tr>
                    <w:trPr>
                      <w:trHeight w:val="28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before="5"/>
                          <w:ind w:right="6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20.386.108</w:t>
                        </w:r>
                      </w:p>
                    </w:tc>
                    <w:tc>
                      <w:tcPr>
                        <w:tcW w:w="280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457" w:val="left" w:leader="none"/>
                          </w:tabs>
                          <w:spacing w:before="5"/>
                          <w:ind w:left="74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  <w:tab/>
                          <w:t>(20.386.108)</w:t>
                        </w:r>
                      </w:p>
                    </w:tc>
                    <w:tc>
                      <w:tcPr>
                        <w:tcW w:w="237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261" w:val="left" w:leader="none"/>
                          </w:tabs>
                          <w:spacing w:before="5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105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w w:val="110"/>
                            <w:sz w:val="1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before="94"/>
                          <w:ind w:right="6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457.994.060</w:t>
                        </w:r>
                      </w:p>
                    </w:tc>
                    <w:tc>
                      <w:tcPr>
                        <w:tcW w:w="280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141" w:val="left" w:leader="none"/>
                          </w:tabs>
                          <w:spacing w:before="94"/>
                          <w:ind w:left="747"/>
                          <w:rPr>
                            <w:sz w:val="14"/>
                          </w:rPr>
                        </w:pPr>
                        <w:r>
                          <w:rPr>
                            <w:w w:val="125"/>
                            <w:sz w:val="14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237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537" w:val="left" w:leader="none"/>
                          </w:tabs>
                          <w:spacing w:before="94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95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w w:val="85"/>
                            <w:sz w:val="14"/>
                          </w:rPr>
                          <w:t>457.994.060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1" w:lineRule="exact" w:before="67"/>
                          <w:ind w:right="61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26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2802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417" w:val="left" w:leader="none"/>
                          </w:tabs>
                          <w:spacing w:line="171" w:lineRule="exact" w:before="67"/>
                          <w:ind w:left="74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-</w:t>
                          <w:tab/>
                          <w:t>296.648.447</w:t>
                        </w:r>
                      </w:p>
                    </w:tc>
                    <w:tc>
                      <w:tcPr>
                        <w:tcW w:w="237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537" w:val="left" w:leader="none"/>
                          </w:tabs>
                          <w:spacing w:line="171" w:lineRule="exact" w:before="67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95"/>
                            <w:sz w:val="14"/>
                          </w:rPr>
                          <w:t>-</w:t>
                          <w:tab/>
                        </w:r>
                        <w:r>
                          <w:rPr>
                            <w:w w:val="85"/>
                            <w:sz w:val="14"/>
                          </w:rPr>
                          <w:t>296.648.447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before="90"/>
                          <w:ind w:right="103"/>
                          <w:jc w:val="center"/>
                          <w:rPr>
                            <w:rFonts w:asci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88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711" w:type="dxa"/>
                      </w:tcPr>
                      <w:p>
                        <w:pPr>
                          <w:pStyle w:val="TableParagraph"/>
                          <w:spacing w:before="90"/>
                          <w:ind w:right="34"/>
                          <w:jc w:val="right"/>
                          <w:rPr>
                            <w:rFonts w:asci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88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2091" w:type="dxa"/>
                      </w:tcPr>
                      <w:p>
                        <w:pPr>
                          <w:pStyle w:val="TableParagraph"/>
                          <w:spacing w:before="90"/>
                          <w:ind w:left="563"/>
                          <w:jc w:val="center"/>
                          <w:rPr>
                            <w:rFonts w:asci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88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1376" w:type="dxa"/>
                      </w:tcPr>
                      <w:p>
                        <w:pPr>
                          <w:pStyle w:val="TableParagraph"/>
                          <w:spacing w:before="90"/>
                          <w:ind w:right="193"/>
                          <w:jc w:val="center"/>
                          <w:rPr>
                            <w:rFonts w:asci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88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997" w:type="dxa"/>
                      </w:tcPr>
                      <w:p>
                        <w:pPr>
                          <w:pStyle w:val="TableParagraph"/>
                          <w:spacing w:before="90"/>
                          <w:ind w:right="182"/>
                          <w:jc w:val="right"/>
                          <w:rPr>
                            <w:rFonts w:asci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88"/>
                            <w:sz w:val="1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w w:val="90"/>
          <w:sz w:val="14"/>
        </w:rPr>
        <w:t>Integralização</w:t>
      </w:r>
      <w:r>
        <w:rPr>
          <w:rFonts w:ascii="Arial Black" w:hAnsi="Arial Black"/>
          <w:spacing w:val="-31"/>
          <w:w w:val="90"/>
          <w:sz w:val="14"/>
        </w:rPr>
        <w:t> </w:t>
      </w:r>
      <w:r>
        <w:rPr>
          <w:rFonts w:ascii="Arial Black" w:hAnsi="Arial Black"/>
          <w:spacing w:val="-4"/>
          <w:w w:val="90"/>
          <w:sz w:val="14"/>
        </w:rPr>
        <w:t>do</w:t>
      </w:r>
      <w:r>
        <w:rPr>
          <w:rFonts w:ascii="Arial Black" w:hAnsi="Arial Black"/>
          <w:spacing w:val="-30"/>
          <w:w w:val="90"/>
          <w:sz w:val="14"/>
        </w:rPr>
        <w:t> </w:t>
      </w:r>
      <w:r>
        <w:rPr>
          <w:rFonts w:ascii="Arial Black" w:hAnsi="Arial Black"/>
          <w:w w:val="90"/>
          <w:sz w:val="14"/>
        </w:rPr>
        <w:t>Capital</w:t>
      </w:r>
      <w:r>
        <w:rPr>
          <w:rFonts w:ascii="Arial Black" w:hAnsi="Arial Black"/>
          <w:spacing w:val="-27"/>
          <w:w w:val="90"/>
          <w:sz w:val="14"/>
        </w:rPr>
        <w:t> </w:t>
      </w:r>
      <w:r>
        <w:rPr>
          <w:rFonts w:ascii="Arial Black" w:hAnsi="Arial Black"/>
          <w:w w:val="90"/>
          <w:sz w:val="14"/>
        </w:rPr>
        <w:t>mantido</w:t>
      </w:r>
      <w:r>
        <w:rPr>
          <w:rFonts w:ascii="Arial Black" w:hAnsi="Arial Black"/>
          <w:spacing w:val="-31"/>
          <w:w w:val="90"/>
          <w:sz w:val="14"/>
        </w:rPr>
        <w:t> </w:t>
      </w:r>
      <w:r>
        <w:rPr>
          <w:rFonts w:ascii="Arial Black" w:hAnsi="Arial Black"/>
          <w:w w:val="90"/>
          <w:sz w:val="14"/>
        </w:rPr>
        <w:t>em </w:t>
      </w:r>
      <w:r>
        <w:rPr>
          <w:rFonts w:ascii="Arial Black" w:hAnsi="Arial Black"/>
          <w:spacing w:val="-3"/>
          <w:w w:val="95"/>
          <w:sz w:val="14"/>
        </w:rPr>
        <w:t>AFAC</w:t>
      </w:r>
      <w:r>
        <w:rPr>
          <w:rFonts w:ascii="Arial Black" w:hAnsi="Arial Black"/>
          <w:spacing w:val="-4"/>
          <w:w w:val="95"/>
          <w:sz w:val="14"/>
        </w:rPr>
        <w:t> </w:t>
      </w:r>
      <w:r>
        <w:rPr>
          <w:rFonts w:ascii="Arial Black" w:hAnsi="Arial Black"/>
          <w:spacing w:val="-3"/>
          <w:w w:val="95"/>
          <w:sz w:val="14"/>
        </w:rPr>
        <w:t>(PL)</w:t>
      </w:r>
    </w:p>
    <w:p>
      <w:pPr>
        <w:spacing w:line="228" w:lineRule="auto" w:before="0"/>
        <w:ind w:left="893" w:right="971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w w:val="90"/>
          <w:sz w:val="14"/>
        </w:rPr>
        <w:t>Integralização</w:t>
      </w:r>
      <w:r>
        <w:rPr>
          <w:rFonts w:ascii="Arial Black" w:hAnsi="Arial Black"/>
          <w:spacing w:val="-31"/>
          <w:w w:val="90"/>
          <w:sz w:val="14"/>
        </w:rPr>
        <w:t> </w:t>
      </w:r>
      <w:r>
        <w:rPr>
          <w:rFonts w:ascii="Arial Black" w:hAnsi="Arial Black"/>
          <w:spacing w:val="-4"/>
          <w:w w:val="90"/>
          <w:sz w:val="14"/>
        </w:rPr>
        <w:t>do</w:t>
      </w:r>
      <w:r>
        <w:rPr>
          <w:rFonts w:ascii="Arial Black" w:hAnsi="Arial Black"/>
          <w:spacing w:val="-30"/>
          <w:w w:val="90"/>
          <w:sz w:val="14"/>
        </w:rPr>
        <w:t> </w:t>
      </w:r>
      <w:r>
        <w:rPr>
          <w:rFonts w:ascii="Arial Black" w:hAnsi="Arial Black"/>
          <w:w w:val="90"/>
          <w:sz w:val="14"/>
        </w:rPr>
        <w:t>Capital</w:t>
      </w:r>
      <w:r>
        <w:rPr>
          <w:rFonts w:ascii="Arial Black" w:hAnsi="Arial Black"/>
          <w:spacing w:val="-27"/>
          <w:w w:val="90"/>
          <w:sz w:val="14"/>
        </w:rPr>
        <w:t> </w:t>
      </w:r>
      <w:r>
        <w:rPr>
          <w:rFonts w:ascii="Arial Black" w:hAnsi="Arial Black"/>
          <w:w w:val="90"/>
          <w:sz w:val="14"/>
        </w:rPr>
        <w:t>mantido</w:t>
      </w:r>
      <w:r>
        <w:rPr>
          <w:rFonts w:ascii="Arial Black" w:hAnsi="Arial Black"/>
          <w:spacing w:val="-31"/>
          <w:w w:val="90"/>
          <w:sz w:val="14"/>
        </w:rPr>
        <w:t> </w:t>
      </w:r>
      <w:r>
        <w:rPr>
          <w:rFonts w:ascii="Arial Black" w:hAnsi="Arial Black"/>
          <w:w w:val="90"/>
          <w:sz w:val="14"/>
        </w:rPr>
        <w:t>em </w:t>
      </w:r>
      <w:r>
        <w:rPr>
          <w:rFonts w:ascii="Arial Black" w:hAnsi="Arial Black"/>
          <w:spacing w:val="-3"/>
          <w:w w:val="95"/>
          <w:sz w:val="14"/>
        </w:rPr>
        <w:t>AFAC</w:t>
      </w:r>
      <w:r>
        <w:rPr>
          <w:rFonts w:ascii="Arial Black" w:hAnsi="Arial Black"/>
          <w:spacing w:val="-4"/>
          <w:w w:val="95"/>
          <w:sz w:val="14"/>
        </w:rPr>
        <w:t> </w:t>
      </w:r>
      <w:r>
        <w:rPr>
          <w:rFonts w:ascii="Arial Black" w:hAnsi="Arial Black"/>
          <w:spacing w:val="-2"/>
          <w:w w:val="95"/>
          <w:sz w:val="14"/>
        </w:rPr>
        <w:t>(PÑC)</w:t>
      </w:r>
    </w:p>
    <w:p>
      <w:pPr>
        <w:spacing w:before="32"/>
        <w:ind w:left="893" w:right="0" w:firstLine="0"/>
        <w:jc w:val="left"/>
        <w:rPr>
          <w:rFonts w:ascii="Arial Black"/>
          <w:sz w:val="14"/>
        </w:rPr>
      </w:pPr>
      <w:r>
        <w:rPr>
          <w:rFonts w:ascii="Arial Black"/>
          <w:w w:val="95"/>
          <w:sz w:val="14"/>
        </w:rPr>
        <w:t>Recebimento AFAC em 2018</w:t>
      </w:r>
    </w:p>
    <w:p>
      <w:pPr>
        <w:spacing w:before="84" w:after="45"/>
        <w:ind w:left="893" w:right="0" w:firstLine="0"/>
        <w:jc w:val="left"/>
        <w:rPr>
          <w:rFonts w:ascii="Verdana"/>
          <w:b/>
          <w:sz w:val="14"/>
        </w:rPr>
      </w:pPr>
      <w:r>
        <w:rPr/>
        <w:pict>
          <v:line style="position:absolute;mso-position-horizontal-relative:page;mso-position-vertical-relative:paragraph;z-index:-17089024" from="365.392914pt,27.983582pt" to="429.059065pt,27.983582pt" stroked="true" strokeweight="0pt" strokecolor="#000000">
            <v:stroke dashstyle="solid"/>
            <w10:wrap type="none"/>
          </v:line>
        </w:pict>
      </w:r>
      <w:r>
        <w:rPr/>
        <w:pict>
          <v:group style="position:absolute;margin-left:437.101013pt;margin-top:27.983582pt;width:61.7pt;height:1.35pt;mso-position-horizontal-relative:page;mso-position-vertical-relative:paragraph;z-index:-17088512" coordorigin="8742,560" coordsize="1234,27">
            <v:line style="position:absolute" from="8742,560" to="9975,560" stroked="true" strokeweight="0pt" strokecolor="#000000">
              <v:stroke dashstyle="solid"/>
            </v:line>
            <v:rect style="position:absolute;left:8742;top:559;width:1234;height:14" filled="true" fillcolor="#000000" stroked="false">
              <v:fill type="solid"/>
            </v:rect>
            <v:line style="position:absolute" from="8742,586" to="9975,586" stroked="true" strokeweight="0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088000" from="506.798767pt,27.983582pt" to="566.443898pt,27.983582pt" stroked="true" strokeweight="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082880" from="577.836792pt,27.983582pt" to="644.853793pt,27.983582pt" stroked="true" strokeweight="0pt" strokecolor="#000000">
            <v:stroke dashstyle="solid"/>
            <w10:wrap type="none"/>
          </v:line>
        </w:pict>
      </w:r>
      <w:r>
        <w:rPr>
          <w:rFonts w:ascii="Verdana"/>
          <w:b/>
          <w:sz w:val="14"/>
        </w:rPr>
        <w:t>Outros Resultados Abrangentes</w:t>
      </w:r>
    </w:p>
    <w:tbl>
      <w:tblPr>
        <w:tblW w:w="0" w:type="auto"/>
        <w:jc w:val="left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1354"/>
        <w:gridCol w:w="148"/>
        <w:gridCol w:w="1274"/>
        <w:gridCol w:w="162"/>
        <w:gridCol w:w="1234"/>
        <w:gridCol w:w="162"/>
        <w:gridCol w:w="1194"/>
        <w:gridCol w:w="229"/>
        <w:gridCol w:w="1341"/>
      </w:tblGrid>
      <w:tr>
        <w:trPr>
          <w:trHeight w:val="251" w:hRule="atLeast"/>
        </w:trPr>
        <w:tc>
          <w:tcPr>
            <w:tcW w:w="2543" w:type="dxa"/>
          </w:tcPr>
          <w:p>
            <w:pPr>
              <w:pStyle w:val="TableParagraph"/>
              <w:spacing w:before="46"/>
              <w:ind w:left="50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sz w:val="14"/>
              </w:rPr>
              <w:t>EM 31 DE DEZEMBRO DE 2018</w:t>
            </w:r>
          </w:p>
        </w:tc>
        <w:tc>
          <w:tcPr>
            <w:tcW w:w="13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right="92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0"/>
                <w:sz w:val="14"/>
              </w:rPr>
              <w:t>1.192.082.724</w:t>
            </w: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right="43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0"/>
                <w:sz w:val="14"/>
              </w:rPr>
              <w:t>(413.997.135)</w:t>
            </w:r>
          </w:p>
        </w:tc>
        <w:tc>
          <w:tcPr>
            <w:tcW w:w="1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left="332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90"/>
                <w:sz w:val="14"/>
              </w:rPr>
              <w:t>302.262.339</w:t>
            </w:r>
          </w:p>
        </w:tc>
        <w:tc>
          <w:tcPr>
            <w:tcW w:w="1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6"/>
              <w:ind w:right="210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8"/>
                <w:sz w:val="14"/>
              </w:rPr>
              <w:t>-</w:t>
            </w:r>
          </w:p>
        </w:tc>
        <w:tc>
          <w:tcPr>
            <w:tcW w:w="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1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before="46"/>
              <w:ind w:right="100"/>
              <w:jc w:val="right"/>
              <w:rPr>
                <w:rFonts w:ascii="Verdana"/>
                <w:b/>
                <w:sz w:val="14"/>
              </w:rPr>
            </w:pPr>
            <w:r>
              <w:rPr>
                <w:rFonts w:ascii="Verdana"/>
                <w:b/>
                <w:w w:val="80"/>
                <w:sz w:val="14"/>
              </w:rPr>
              <w:t>1.080.347.928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71" w:lineRule="exact" w:before="24"/>
              <w:ind w:left="50"/>
              <w:rPr>
                <w:sz w:val="14"/>
              </w:rPr>
            </w:pPr>
            <w:r>
              <w:rPr>
                <w:spacing w:val="-3"/>
                <w:w w:val="74"/>
                <w:sz w:val="14"/>
              </w:rPr>
              <w:t>L</w:t>
            </w:r>
            <w:r>
              <w:rPr>
                <w:spacing w:val="-4"/>
                <w:w w:val="89"/>
                <w:sz w:val="14"/>
              </w:rPr>
              <w:t>u</w:t>
            </w:r>
            <w:r>
              <w:rPr>
                <w:spacing w:val="-2"/>
                <w:w w:val="72"/>
                <w:sz w:val="14"/>
              </w:rPr>
              <w:t>c</w:t>
            </w:r>
            <w:r>
              <w:rPr>
                <w:spacing w:val="2"/>
                <w:w w:val="82"/>
                <w:sz w:val="14"/>
              </w:rPr>
              <w:t>r</w:t>
            </w:r>
            <w:r>
              <w:rPr>
                <w:spacing w:val="-6"/>
                <w:w w:val="92"/>
                <w:sz w:val="14"/>
              </w:rPr>
              <w:t>o</w:t>
            </w:r>
            <w:r>
              <w:rPr>
                <w:spacing w:val="4"/>
                <w:w w:val="73"/>
                <w:sz w:val="14"/>
              </w:rPr>
              <w:t>s</w:t>
            </w:r>
            <w:r>
              <w:rPr>
                <w:spacing w:val="-4"/>
                <w:w w:val="147"/>
                <w:sz w:val="14"/>
              </w:rPr>
              <w:t>/</w:t>
            </w:r>
            <w:r>
              <w:rPr>
                <w:spacing w:val="-3"/>
                <w:w w:val="81"/>
                <w:sz w:val="14"/>
              </w:rPr>
              <w:t>P</w:t>
            </w:r>
            <w:r>
              <w:rPr>
                <w:spacing w:val="2"/>
                <w:w w:val="82"/>
                <w:sz w:val="14"/>
              </w:rPr>
              <w:t>r</w:t>
            </w:r>
            <w:r>
              <w:rPr>
                <w:spacing w:val="3"/>
                <w:w w:val="82"/>
                <w:sz w:val="14"/>
              </w:rPr>
              <w:t>e</w:t>
            </w:r>
            <w:r>
              <w:rPr>
                <w:spacing w:val="4"/>
                <w:w w:val="85"/>
                <w:sz w:val="14"/>
              </w:rPr>
              <w:t>j</w:t>
            </w:r>
            <w:r>
              <w:rPr>
                <w:spacing w:val="-4"/>
                <w:w w:val="85"/>
                <w:sz w:val="14"/>
              </w:rPr>
              <w:t>u</w:t>
            </w:r>
            <w:r>
              <w:rPr>
                <w:spacing w:val="4"/>
                <w:w w:val="82"/>
                <w:sz w:val="14"/>
              </w:rPr>
              <w:t>í</w:t>
            </w:r>
            <w:r>
              <w:rPr>
                <w:w w:val="82"/>
                <w:sz w:val="14"/>
              </w:rPr>
              <w:t>z</w:t>
            </w:r>
            <w:r>
              <w:rPr>
                <w:spacing w:val="-6"/>
                <w:w w:val="92"/>
                <w:sz w:val="14"/>
              </w:rPr>
              <w:t>o</w:t>
            </w:r>
            <w:r>
              <w:rPr>
                <w:w w:val="73"/>
                <w:sz w:val="14"/>
              </w:rPr>
              <w:t>s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3"/>
                <w:w w:val="74"/>
                <w:sz w:val="14"/>
              </w:rPr>
              <w:t>L</w:t>
            </w:r>
            <w:r>
              <w:rPr>
                <w:spacing w:val="4"/>
                <w:w w:val="87"/>
                <w:sz w:val="14"/>
              </w:rPr>
              <w:t>í</w:t>
            </w:r>
            <w:r>
              <w:rPr>
                <w:spacing w:val="-7"/>
                <w:w w:val="87"/>
                <w:sz w:val="14"/>
              </w:rPr>
              <w:t>q</w:t>
            </w:r>
            <w:r>
              <w:rPr>
                <w:spacing w:val="-4"/>
                <w:w w:val="89"/>
                <w:sz w:val="14"/>
              </w:rPr>
              <w:t>u</w:t>
            </w:r>
            <w:r>
              <w:rPr>
                <w:spacing w:val="4"/>
                <w:w w:val="87"/>
                <w:sz w:val="14"/>
              </w:rPr>
              <w:t>i</w:t>
            </w:r>
            <w:r>
              <w:rPr>
                <w:spacing w:val="-7"/>
                <w:w w:val="87"/>
                <w:sz w:val="14"/>
              </w:rPr>
              <w:t>d</w:t>
            </w:r>
            <w:r>
              <w:rPr>
                <w:w w:val="92"/>
                <w:sz w:val="14"/>
              </w:rPr>
              <w:t>o</w:t>
            </w:r>
          </w:p>
        </w:tc>
        <w:tc>
          <w:tcPr>
            <w:tcW w:w="13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1" w:lineRule="exact" w:before="4"/>
              <w:ind w:right="192"/>
              <w:jc w:val="right"/>
              <w:rPr>
                <w:sz w:val="14"/>
              </w:rPr>
            </w:pPr>
            <w:r>
              <w:rPr>
                <w:w w:val="126"/>
                <w:sz w:val="14"/>
              </w:rPr>
              <w:t>-</w:t>
            </w:r>
          </w:p>
        </w:tc>
        <w:tc>
          <w:tcPr>
            <w:tcW w:w="14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1" w:lineRule="exact" w:before="4"/>
              <w:ind w:right="80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143.916.843</w:t>
            </w:r>
          </w:p>
        </w:tc>
        <w:tc>
          <w:tcPr>
            <w:tcW w:w="1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1" w:lineRule="exact" w:before="4"/>
              <w:ind w:right="196"/>
              <w:jc w:val="right"/>
              <w:rPr>
                <w:sz w:val="14"/>
              </w:rPr>
            </w:pPr>
            <w:r>
              <w:rPr>
                <w:w w:val="126"/>
                <w:sz w:val="14"/>
              </w:rPr>
              <w:t>-</w:t>
            </w:r>
          </w:p>
        </w:tc>
        <w:tc>
          <w:tcPr>
            <w:tcW w:w="1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1" w:lineRule="exact" w:before="4"/>
              <w:ind w:right="198"/>
              <w:jc w:val="right"/>
              <w:rPr>
                <w:sz w:val="14"/>
              </w:rPr>
            </w:pPr>
            <w:r>
              <w:rPr>
                <w:w w:val="126"/>
                <w:sz w:val="14"/>
              </w:rPr>
              <w:t>-</w:t>
            </w:r>
          </w:p>
        </w:tc>
        <w:tc>
          <w:tcPr>
            <w:tcW w:w="2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71" w:lineRule="exact" w:before="17"/>
              <w:ind w:right="86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143.916.843</w:t>
            </w:r>
          </w:p>
        </w:tc>
      </w:tr>
    </w:tbl>
    <w:p>
      <w:pPr>
        <w:pStyle w:val="BodyText"/>
        <w:spacing w:before="7"/>
        <w:rPr>
          <w:rFonts w:ascii="Verdana"/>
          <w:b/>
          <w:sz w:val="18"/>
        </w:rPr>
      </w:pPr>
    </w:p>
    <w:p>
      <w:pPr>
        <w:spacing w:after="0"/>
        <w:rPr>
          <w:rFonts w:ascii="Verdana"/>
          <w:sz w:val="18"/>
        </w:rPr>
        <w:sectPr>
          <w:type w:val="continuous"/>
          <w:pgSz w:w="16840" w:h="11910" w:orient="landscape"/>
          <w:pgMar w:top="1580" w:bottom="0" w:left="2420" w:right="1340"/>
        </w:sectPr>
      </w:pPr>
    </w:p>
    <w:p>
      <w:pPr>
        <w:spacing w:line="228" w:lineRule="auto" w:before="167"/>
        <w:ind w:left="893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w w:val="85"/>
          <w:sz w:val="14"/>
        </w:rPr>
        <w:t>Integralização do Capital mantido em </w:t>
      </w:r>
      <w:r>
        <w:rPr>
          <w:rFonts w:ascii="Arial Black" w:hAnsi="Arial Black"/>
          <w:w w:val="95"/>
          <w:sz w:val="14"/>
        </w:rPr>
        <w:t>AFAC (PL)</w:t>
      </w:r>
    </w:p>
    <w:p>
      <w:pPr>
        <w:tabs>
          <w:tab w:pos="2633" w:val="left" w:leader="none"/>
          <w:tab w:pos="3424" w:val="left" w:leader="none"/>
          <w:tab w:pos="5381" w:val="left" w:leader="none"/>
          <w:tab w:pos="6949" w:val="left" w:leader="none"/>
        </w:tabs>
        <w:spacing w:before="105"/>
        <w:ind w:left="650" w:right="0" w:firstLine="0"/>
        <w:jc w:val="left"/>
        <w:rPr>
          <w:rFonts w:ascii="Arial Black"/>
          <w:sz w:val="14"/>
        </w:rPr>
      </w:pPr>
      <w:r>
        <w:rPr/>
        <w:br w:type="column"/>
      </w:r>
      <w:r>
        <w:rPr>
          <w:rFonts w:ascii="Arial Black"/>
          <w:w w:val="90"/>
          <w:sz w:val="14"/>
        </w:rPr>
        <w:t>9.685.569</w:t>
        <w:tab/>
      </w:r>
      <w:r>
        <w:rPr>
          <w:rFonts w:ascii="Arial Black"/>
          <w:w w:val="105"/>
          <w:sz w:val="14"/>
        </w:rPr>
        <w:t>-</w:t>
        <w:tab/>
      </w:r>
      <w:r>
        <w:rPr>
          <w:rFonts w:ascii="Arial Black"/>
          <w:w w:val="85"/>
          <w:sz w:val="14"/>
        </w:rPr>
        <w:t>(9.685.569)</w:t>
        <w:tab/>
      </w:r>
      <w:r>
        <w:rPr>
          <w:rFonts w:ascii="Arial Black"/>
          <w:w w:val="105"/>
          <w:sz w:val="14"/>
        </w:rPr>
        <w:t>-</w:t>
        <w:tab/>
        <w:t>-</w:t>
      </w:r>
    </w:p>
    <w:p>
      <w:pPr>
        <w:spacing w:after="0"/>
        <w:jc w:val="left"/>
        <w:rPr>
          <w:rFonts w:ascii="Arial Black"/>
          <w:sz w:val="14"/>
        </w:rPr>
        <w:sectPr>
          <w:type w:val="continuous"/>
          <w:pgSz w:w="16840" w:h="11910" w:orient="landscape"/>
          <w:pgMar w:top="1580" w:bottom="0" w:left="2420" w:right="1340"/>
          <w:cols w:num="2" w:equalWidth="0">
            <w:col w:w="3353" w:space="40"/>
            <w:col w:w="9687"/>
          </w:cols>
        </w:sectPr>
      </w:pPr>
    </w:p>
    <w:p>
      <w:pPr>
        <w:tabs>
          <w:tab w:pos="4473" w:val="left" w:leader="none"/>
          <w:tab w:pos="5263" w:val="left" w:leader="none"/>
          <w:tab w:pos="7288" w:val="left" w:leader="none"/>
          <w:tab w:pos="8641" w:val="left" w:leader="none"/>
          <w:tab w:pos="10382" w:val="right" w:leader="none"/>
        </w:tabs>
        <w:spacing w:before="112"/>
        <w:ind w:left="893" w:right="0" w:firstLine="0"/>
        <w:jc w:val="left"/>
        <w:rPr>
          <w:rFonts w:ascii="Verdana" w:hAnsi="Verdana"/>
          <w:b/>
          <w:sz w:val="14"/>
        </w:rPr>
      </w:pPr>
      <w:r>
        <w:rPr/>
        <w:pict>
          <v:group style="position:absolute;margin-left:715.297974pt;margin-top:561.26001pt;width:53.8pt;height:7.9pt;mso-position-horizontal-relative:page;mso-position-vertical-relative:page;z-index:15739904" coordorigin="14306,11225" coordsize="1076,158">
            <v:shape style="position:absolute;left:14540;top:11225;width:842;height:158" coordorigin="14540,11225" coordsize="842,158" path="m14650,11225l14624,11225,14624,11285,14566,11285,14566,11225,14540,11225,14540,11380,14566,11380,14566,11312,14624,11312,14624,11380,14650,11380,14650,11225xm14762,11332l14758,11312,14747,11296,14735,11288,14735,11322,14687,11322,14691,11312,14700,11306,14722,11306,14731,11312,14735,11322,14735,11288,14731,11285,14711,11281,14691,11285,14675,11296,14664,11312,14660,11332,14664,11352,14675,11368,14686,11375,14691,11379,14711,11383,14726,11380,14740,11374,14750,11364,14758,11351,14729,11351,14724,11355,14718,11358,14700,11358,14690,11351,14686,11341,14687,11341,14704,11341,14735,11341,14761,11341,14761,11338,14762,11335,14762,11332xm14914,11380l14914,11322,14910,11306,14901,11293,14888,11283,14871,11280,14860,11280,14850,11285,14842,11292,14835,11285,14824,11280,14813,11280,14797,11284,14783,11293,14774,11306,14770,11322,14770,11380,14797,11380,14797,11322,14798,11314,14805,11307,14821,11307,14828,11314,14829,11323,14829,11380,14856,11380,14856,11322,14856,11314,14863,11307,14880,11307,14887,11314,14887,11322,14887,11380,14914,11380xm15023,11330l15019,11311,15009,11295,14999,11288,14999,11316,14999,11345,14987,11357,14958,11357,14947,11345,14947,11316,14958,11304,14987,11304,14999,11316,14999,11288,14992,11284,14973,11280,14953,11284,14937,11295,14926,11311,14922,11330,14926,11350,14937,11366,14947,11373,14953,11377,14973,11381,14992,11377,14999,11373,15009,11366,15019,11350,15023,11330xm15133,11332l15129,11312,15118,11296,15108,11290,15108,11317,15108,11346,15097,11358,15068,11358,15056,11346,15056,11317,15068,11306,15097,11306,15108,11317,15108,11290,15102,11285,15082,11281,15073,11281,15065,11283,15058,11287,15058,11225,15031,11225,15031,11330,15032,11330,15031,11331,15031,11332,15032,11332,15035,11352,15046,11368,15056,11374,15062,11379,15082,11383,15102,11379,15108,11374,15118,11368,15129,11352,15133,11332xm15184,11280l15168,11284,15154,11293,15145,11306,15142,11322,15142,11380,15169,11380,15168,11322,15169,11314,15176,11307,15184,11307,15184,11280xm15278,11251l15254,11251,15240,11272,15256,11272,15278,11251xm15292,11381l15291,11333,15291,11334,15291,11333,15291,11332,15291,11332,15287,11312,15276,11296,15267,11289,15267,11317,15267,11346,15255,11358,15226,11358,15214,11346,15214,11317,15226,11306,15255,11306,15267,11317,15267,11289,15260,11285,15241,11281,15221,11285,15205,11296,15194,11312,15190,11332,15194,11351,15205,11367,15214,11374,15221,11378,15241,11382,15250,11382,15259,11380,15267,11375,15267,11375,15267,11381,15291,11381,15292,11381xm15382,11351l15380,11339,15373,11331,15363,11325,15350,11321,15333,11316,15331,11314,15331,11305,15335,11303,15349,11303,15357,11306,15367,11313,15380,11294,15368,11285,15356,11281,15342,11281,15327,11283,15316,11289,15309,11299,15306,11312,15309,11325,15316,11333,15326,11339,15340,11343,15356,11347,15358,11350,15358,11358,15353,11361,15336,11361,15327,11357,15317,11349,15302,11366,15312,11374,15323,11379,15333,11382,15345,11383,15360,11381,15372,11374,15379,11364,15382,11351xe" filled="true" fillcolor="#883130" stroked="false">
              <v:path arrowok="t"/>
              <v:fill type="solid"/>
            </v:shape>
            <v:shape style="position:absolute;left:14305;top:11225;width:196;height:156" type="#_x0000_t75" stroked="false">
              <v:imagedata r:id="rId23" o:title=""/>
            </v:shape>
            <w10:wrap type="none"/>
          </v:group>
        </w:pict>
      </w:r>
      <w:r>
        <w:rPr/>
        <w:pict>
          <v:rect style="position:absolute;margin-left:89.178001pt;margin-top:564.094971pt;width:621.127pt;height:.917pt;mso-position-horizontal-relative:page;mso-position-vertical-relative:page;z-index:15740416" filled="true" fillcolor="#883130" stroked="false">
            <v:fill type="solid"/>
            <w10:wrap type="none"/>
          </v:rect>
        </w:pict>
      </w:r>
      <w:r>
        <w:rPr>
          <w:rFonts w:ascii="Verdana" w:hAnsi="Verdana"/>
          <w:b/>
          <w:w w:val="90"/>
          <w:sz w:val="14"/>
        </w:rPr>
        <w:t>Resultado Líquido</w:t>
      </w:r>
      <w:r>
        <w:rPr>
          <w:rFonts w:ascii="Verdana" w:hAnsi="Verdana"/>
          <w:b/>
          <w:spacing w:val="-14"/>
          <w:w w:val="90"/>
          <w:sz w:val="14"/>
        </w:rPr>
        <w:t> </w:t>
      </w:r>
      <w:r>
        <w:rPr>
          <w:rFonts w:ascii="Verdana" w:hAnsi="Verdana"/>
          <w:b/>
          <w:w w:val="90"/>
          <w:sz w:val="14"/>
        </w:rPr>
        <w:t>do</w:t>
      </w:r>
      <w:r>
        <w:rPr>
          <w:rFonts w:ascii="Verdana" w:hAnsi="Verdana"/>
          <w:b/>
          <w:spacing w:val="-7"/>
          <w:w w:val="90"/>
          <w:sz w:val="14"/>
        </w:rPr>
        <w:t> </w:t>
      </w:r>
      <w:r>
        <w:rPr>
          <w:rFonts w:ascii="Verdana" w:hAnsi="Verdana"/>
          <w:b/>
          <w:w w:val="90"/>
          <w:sz w:val="14"/>
        </w:rPr>
        <w:t>Exercício</w:t>
        <w:tab/>
      </w:r>
      <w:r>
        <w:rPr>
          <w:rFonts w:ascii="Verdana" w:hAnsi="Verdana"/>
          <w:b/>
          <w:w w:val="95"/>
          <w:sz w:val="14"/>
        </w:rPr>
        <w:t>-</w:t>
        <w:tab/>
      </w:r>
      <w:r>
        <w:rPr>
          <w:rFonts w:ascii="Verdana" w:hAnsi="Verdana"/>
          <w:b/>
          <w:spacing w:val="-4"/>
          <w:w w:val="90"/>
          <w:sz w:val="14"/>
        </w:rPr>
        <w:t>143.916.843</w:t>
        <w:tab/>
      </w:r>
      <w:r>
        <w:rPr>
          <w:rFonts w:ascii="Verdana" w:hAnsi="Verdana"/>
          <w:b/>
          <w:w w:val="95"/>
          <w:sz w:val="14"/>
        </w:rPr>
        <w:t>-</w:t>
        <w:tab/>
        <w:t>-</w:t>
        <w:tab/>
      </w:r>
      <w:r>
        <w:rPr>
          <w:rFonts w:ascii="Verdana" w:hAnsi="Verdana"/>
          <w:b/>
          <w:spacing w:val="-5"/>
          <w:w w:val="95"/>
          <w:sz w:val="14"/>
        </w:rPr>
        <w:t>143.916.843</w:t>
      </w:r>
    </w:p>
    <w:p>
      <w:pPr>
        <w:tabs>
          <w:tab w:pos="4473" w:val="left" w:leader="none"/>
          <w:tab w:pos="5894" w:val="left" w:leader="none"/>
          <w:tab w:pos="7288" w:val="left" w:leader="none"/>
          <w:tab w:pos="8641" w:val="left" w:leader="none"/>
          <w:tab w:pos="10210" w:val="left" w:leader="none"/>
        </w:tabs>
        <w:spacing w:before="98"/>
        <w:ind w:left="893" w:right="0" w:firstLine="0"/>
        <w:jc w:val="left"/>
        <w:rPr>
          <w:rFonts w:ascii="Verdana"/>
          <w:b/>
          <w:sz w:val="14"/>
        </w:rPr>
      </w:pPr>
      <w:r>
        <w:rPr/>
        <w:pict>
          <v:group style="position:absolute;margin-left:290.333862pt;margin-top:15.286454pt;width:67.7pt;height:.7pt;mso-position-horizontal-relative:page;mso-position-vertical-relative:paragraph;z-index:15744000" coordorigin="5807,306" coordsize="1354,14">
            <v:line style="position:absolute" from="5807,306" to="7160,306" stroked="true" strokeweight="0pt" strokecolor="#000000">
              <v:stroke dashstyle="solid"/>
            </v:line>
            <v:rect style="position:absolute;left:5806;top:305;width:1354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365.392914pt;margin-top:15.286454pt;width:63.7pt;height:.7pt;mso-position-horizontal-relative:page;mso-position-vertical-relative:paragraph;z-index:15744512" coordorigin="7308,306" coordsize="1274,14">
            <v:line style="position:absolute" from="7308,306" to="8581,306" stroked="true" strokeweight="0pt" strokecolor="#000000">
              <v:stroke dashstyle="solid"/>
            </v:line>
            <v:rect style="position:absolute;left:7307;top:305;width:1274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37.101013pt;margin-top:15.286454pt;width:61.7pt;height:.7pt;mso-position-horizontal-relative:page;mso-position-vertical-relative:paragraph;z-index:15745024" coordorigin="8742,306" coordsize="1234,14">
            <v:line style="position:absolute" from="8742,306" to="9975,306" stroked="true" strokeweight="0pt" strokecolor="#000000">
              <v:stroke dashstyle="solid"/>
            </v:line>
            <v:rect style="position:absolute;left:8742;top:305;width:1234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506.798767pt;margin-top:15.286454pt;width:59.65pt;height:.7pt;mso-position-horizontal-relative:page;mso-position-vertical-relative:paragraph;z-index:15745536" coordorigin="10136,306" coordsize="1193,14">
            <v:line style="position:absolute" from="10136,306" to="11329,306" stroked="true" strokeweight="0pt" strokecolor="#000000">
              <v:stroke dashstyle="solid"/>
            </v:line>
            <v:rect style="position:absolute;left:10135;top:305;width:1193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577.836792pt;margin-top:15.286454pt;width:67.05pt;height:.7pt;mso-position-horizontal-relative:page;mso-position-vertical-relative:paragraph;z-index:15749120" coordorigin="11557,306" coordsize="1341,14">
            <v:line style="position:absolute" from="11557,306" to="12897,306" stroked="true" strokeweight="0pt" strokecolor="#000000">
              <v:stroke dashstyle="solid"/>
            </v:line>
            <v:rect style="position:absolute;left:11556;top:305;width:1341;height:14" filled="true" fillcolor="#000000" stroked="false">
              <v:fill type="solid"/>
            </v:rect>
            <w10:wrap type="none"/>
          </v:group>
        </w:pict>
      </w:r>
      <w:r>
        <w:rPr>
          <w:rFonts w:ascii="Verdana"/>
          <w:b/>
          <w:w w:val="90"/>
          <w:sz w:val="14"/>
        </w:rPr>
        <w:t>Outros</w:t>
      </w:r>
      <w:r>
        <w:rPr>
          <w:rFonts w:ascii="Verdana"/>
          <w:b/>
          <w:spacing w:val="-13"/>
          <w:w w:val="90"/>
          <w:sz w:val="14"/>
        </w:rPr>
        <w:t> </w:t>
      </w:r>
      <w:r>
        <w:rPr>
          <w:rFonts w:ascii="Verdana"/>
          <w:b/>
          <w:w w:val="90"/>
          <w:sz w:val="14"/>
        </w:rPr>
        <w:t>Resultados</w:t>
      </w:r>
      <w:r>
        <w:rPr>
          <w:rFonts w:ascii="Verdana"/>
          <w:b/>
          <w:spacing w:val="-13"/>
          <w:w w:val="90"/>
          <w:sz w:val="14"/>
        </w:rPr>
        <w:t> </w:t>
      </w:r>
      <w:r>
        <w:rPr>
          <w:rFonts w:ascii="Verdana"/>
          <w:b/>
          <w:w w:val="90"/>
          <w:sz w:val="14"/>
        </w:rPr>
        <w:t>Abrangentes</w:t>
        <w:tab/>
      </w:r>
      <w:r>
        <w:rPr>
          <w:rFonts w:ascii="Verdana"/>
          <w:b/>
          <w:sz w:val="14"/>
        </w:rPr>
        <w:t>-</w:t>
        <w:tab/>
        <w:t>-</w:t>
        <w:tab/>
        <w:t>-</w:t>
        <w:tab/>
        <w:t>-</w:t>
        <w:tab/>
        <w:t>-</w:t>
      </w:r>
    </w:p>
    <w:p>
      <w:pPr>
        <w:tabs>
          <w:tab w:pos="3721" w:val="left" w:leader="none"/>
          <w:tab w:pos="5209" w:val="left" w:leader="none"/>
          <w:tab w:pos="6657" w:val="left" w:leader="none"/>
          <w:tab w:pos="8641" w:val="left" w:leader="none"/>
          <w:tab w:pos="10382" w:val="right" w:leader="none"/>
        </w:tabs>
        <w:spacing w:before="98"/>
        <w:ind w:left="893" w:right="0" w:firstLine="0"/>
        <w:jc w:val="left"/>
        <w:rPr>
          <w:rFonts w:ascii="Verdana"/>
          <w:b/>
          <w:sz w:val="14"/>
        </w:rPr>
      </w:pPr>
      <w:r>
        <w:rPr/>
        <w:pict>
          <v:group style="position:absolute;margin-left:290.333862pt;margin-top:15.286446pt;width:67.7pt;height:2.050pt;mso-position-horizontal-relative:page;mso-position-vertical-relative:paragraph;z-index:15746048" coordorigin="5807,306" coordsize="1354,41">
            <v:line style="position:absolute" from="5807,306" to="7160,306" stroked="true" strokeweight="0pt" strokecolor="#000000">
              <v:stroke dashstyle="solid"/>
            </v:line>
            <v:rect style="position:absolute;left:5806;top:305;width:1354;height:14" filled="true" fillcolor="#000000" stroked="false">
              <v:fill type="solid"/>
            </v:rect>
            <v:line style="position:absolute" from="5807,333" to="7160,333" stroked="true" strokeweight="0pt" strokecolor="#000000">
              <v:stroke dashstyle="solid"/>
            </v:line>
            <v:rect style="position:absolute;left:5806;top:332;width:1354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365.392914pt;margin-top:15.286446pt;width:63.7pt;height:2.050pt;mso-position-horizontal-relative:page;mso-position-vertical-relative:paragraph;z-index:15746560" coordorigin="7308,306" coordsize="1274,41">
            <v:line style="position:absolute" from="7308,306" to="8581,306" stroked="true" strokeweight="0pt" strokecolor="#000000">
              <v:stroke dashstyle="solid"/>
            </v:line>
            <v:rect style="position:absolute;left:7307;top:305;width:1274;height:14" filled="true" fillcolor="#000000" stroked="false">
              <v:fill type="solid"/>
            </v:rect>
            <v:line style="position:absolute" from="7308,333" to="8581,333" stroked="true" strokeweight="0pt" strokecolor="#000000">
              <v:stroke dashstyle="solid"/>
            </v:line>
            <v:rect style="position:absolute;left:7307;top:332;width:1274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437.101013pt;margin-top:15.286446pt;width:61.7pt;height:2.050pt;mso-position-horizontal-relative:page;mso-position-vertical-relative:paragraph;z-index:15747072" coordorigin="8742,306" coordsize="1234,41">
            <v:line style="position:absolute" from="8742,306" to="9975,306" stroked="true" strokeweight="0pt" strokecolor="#000000">
              <v:stroke dashstyle="solid"/>
            </v:line>
            <v:rect style="position:absolute;left:8742;top:305;width:1234;height:14" filled="true" fillcolor="#000000" stroked="false">
              <v:fill type="solid"/>
            </v:rect>
            <v:line style="position:absolute" from="8742,333" to="9975,333" stroked="true" strokeweight="0pt" strokecolor="#000000">
              <v:stroke dashstyle="solid"/>
            </v:line>
            <v:rect style="position:absolute;left:8742;top:332;width:1234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506.798767pt;margin-top:15.286446pt;width:59.65pt;height:2.050pt;mso-position-horizontal-relative:page;mso-position-vertical-relative:paragraph;z-index:15747584" coordorigin="10136,306" coordsize="1193,41">
            <v:line style="position:absolute" from="10136,306" to="11329,306" stroked="true" strokeweight="0pt" strokecolor="#000000">
              <v:stroke dashstyle="solid"/>
            </v:line>
            <v:rect style="position:absolute;left:10135;top:305;width:1193;height:14" filled="true" fillcolor="#000000" stroked="false">
              <v:fill type="solid"/>
            </v:rect>
            <v:line style="position:absolute" from="10136,333" to="11329,333" stroked="true" strokeweight="0pt" strokecolor="#000000">
              <v:stroke dashstyle="solid"/>
            </v:line>
            <v:rect style="position:absolute;left:10135;top:332;width:1193;height:14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577.836792pt;margin-top:15.286446pt;width:67.05pt;height:2.050pt;mso-position-horizontal-relative:page;mso-position-vertical-relative:paragraph;z-index:15749632" coordorigin="11557,306" coordsize="1341,41">
            <v:line style="position:absolute" from="11557,306" to="12897,306" stroked="true" strokeweight="0pt" strokecolor="#000000">
              <v:stroke dashstyle="solid"/>
            </v:line>
            <v:rect style="position:absolute;left:11556;top:305;width:1341;height:14" filled="true" fillcolor="#000000" stroked="false">
              <v:fill type="solid"/>
            </v:rect>
            <v:line style="position:absolute" from="11557,333" to="12897,333" stroked="true" strokeweight="0pt" strokecolor="#000000">
              <v:stroke dashstyle="solid"/>
            </v:line>
            <v:rect style="position:absolute;left:11556;top:332;width:1341;height:14" filled="true" fillcolor="#000000" stroked="false">
              <v:fill type="solid"/>
            </v:rect>
            <w10:wrap type="none"/>
          </v:group>
        </w:pict>
      </w:r>
      <w:r>
        <w:rPr>
          <w:rFonts w:ascii="Verdana"/>
          <w:b/>
          <w:w w:val="95"/>
          <w:sz w:val="14"/>
        </w:rPr>
        <w:t>EM</w:t>
      </w:r>
      <w:r>
        <w:rPr>
          <w:rFonts w:ascii="Verdana"/>
          <w:b/>
          <w:spacing w:val="-18"/>
          <w:w w:val="95"/>
          <w:sz w:val="14"/>
        </w:rPr>
        <w:t> </w:t>
      </w:r>
      <w:r>
        <w:rPr>
          <w:rFonts w:ascii="Verdana"/>
          <w:b/>
          <w:spacing w:val="-3"/>
          <w:w w:val="95"/>
          <w:sz w:val="14"/>
        </w:rPr>
        <w:t>31</w:t>
      </w:r>
      <w:r>
        <w:rPr>
          <w:rFonts w:ascii="Verdana"/>
          <w:b/>
          <w:spacing w:val="-24"/>
          <w:w w:val="95"/>
          <w:sz w:val="14"/>
        </w:rPr>
        <w:t> </w:t>
      </w:r>
      <w:r>
        <w:rPr>
          <w:rFonts w:ascii="Verdana"/>
          <w:b/>
          <w:w w:val="95"/>
          <w:sz w:val="14"/>
        </w:rPr>
        <w:t>DE</w:t>
      </w:r>
      <w:r>
        <w:rPr>
          <w:rFonts w:ascii="Verdana"/>
          <w:b/>
          <w:spacing w:val="-19"/>
          <w:w w:val="95"/>
          <w:sz w:val="14"/>
        </w:rPr>
        <w:t> </w:t>
      </w:r>
      <w:r>
        <w:rPr>
          <w:rFonts w:ascii="Verdana"/>
          <w:b/>
          <w:w w:val="95"/>
          <w:sz w:val="14"/>
        </w:rPr>
        <w:t>DEZEMBRO</w:t>
      </w:r>
      <w:r>
        <w:rPr>
          <w:rFonts w:ascii="Verdana"/>
          <w:b/>
          <w:spacing w:val="-24"/>
          <w:w w:val="95"/>
          <w:sz w:val="14"/>
        </w:rPr>
        <w:t> </w:t>
      </w:r>
      <w:r>
        <w:rPr>
          <w:rFonts w:ascii="Verdana"/>
          <w:b/>
          <w:w w:val="95"/>
          <w:sz w:val="14"/>
        </w:rPr>
        <w:t>DE</w:t>
      </w:r>
      <w:r>
        <w:rPr>
          <w:rFonts w:ascii="Verdana"/>
          <w:b/>
          <w:spacing w:val="-20"/>
          <w:w w:val="95"/>
          <w:sz w:val="14"/>
        </w:rPr>
        <w:t> </w:t>
      </w:r>
      <w:r>
        <w:rPr>
          <w:rFonts w:ascii="Verdana"/>
          <w:b/>
          <w:spacing w:val="-4"/>
          <w:w w:val="95"/>
          <w:sz w:val="14"/>
        </w:rPr>
        <w:t>2019</w:t>
        <w:tab/>
      </w:r>
      <w:r>
        <w:rPr>
          <w:rFonts w:ascii="Verdana"/>
          <w:b/>
          <w:spacing w:val="-4"/>
          <w:w w:val="85"/>
          <w:sz w:val="14"/>
        </w:rPr>
        <w:t>1.201.768.293</w:t>
        <w:tab/>
        <w:t>(270.080.292)</w:t>
        <w:tab/>
      </w:r>
      <w:r>
        <w:rPr>
          <w:rFonts w:ascii="Verdana"/>
          <w:b/>
          <w:spacing w:val="-4"/>
          <w:w w:val="90"/>
          <w:sz w:val="14"/>
        </w:rPr>
        <w:t>292.576.769</w:t>
        <w:tab/>
      </w:r>
      <w:r>
        <w:rPr>
          <w:rFonts w:ascii="Verdana"/>
          <w:b/>
          <w:w w:val="95"/>
          <w:sz w:val="14"/>
        </w:rPr>
        <w:t>-</w:t>
        <w:tab/>
      </w:r>
      <w:r>
        <w:rPr>
          <w:rFonts w:ascii="Verdana"/>
          <w:b/>
          <w:spacing w:val="-4"/>
          <w:w w:val="95"/>
          <w:sz w:val="14"/>
        </w:rPr>
        <w:t>1.224.264.770</w:t>
      </w:r>
    </w:p>
    <w:p>
      <w:pPr>
        <w:spacing w:before="125"/>
        <w:ind w:left="893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w w:val="90"/>
          <w:sz w:val="14"/>
        </w:rPr>
        <w:t>As notas explicativas são parte integrante das demonstrações contábeis</w:t>
      </w:r>
    </w:p>
    <w:p>
      <w:pPr>
        <w:spacing w:after="0"/>
        <w:jc w:val="left"/>
        <w:rPr>
          <w:rFonts w:ascii="Arial Black" w:hAnsi="Arial Black"/>
          <w:sz w:val="14"/>
        </w:rPr>
        <w:sectPr>
          <w:type w:val="continuous"/>
          <w:pgSz w:w="16840" w:h="11910" w:orient="landscape"/>
          <w:pgMar w:top="1580" w:bottom="0" w:left="2420" w:right="1340"/>
        </w:sectPr>
      </w:pPr>
    </w:p>
    <w:p>
      <w:pPr>
        <w:pStyle w:val="BodyText"/>
        <w:spacing w:before="8"/>
        <w:rPr>
          <w:rFonts w:ascii="Arial Black"/>
          <w:sz w:val="8"/>
        </w:rPr>
      </w:pPr>
      <w:r>
        <w:rPr/>
        <w:pict>
          <v:line style="position:absolute;mso-position-horizontal-relative:page;mso-position-vertical-relative:page;z-index:-17080832" from="448.995941pt,679.352478pt" to="517.004933pt,679.352478pt" stroked="true" strokeweight="0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8"/>
        <w:gridCol w:w="1375"/>
        <w:gridCol w:w="580"/>
        <w:gridCol w:w="1359"/>
      </w:tblGrid>
      <w:tr>
        <w:trPr>
          <w:trHeight w:val="556" w:hRule="atLeast"/>
        </w:trPr>
        <w:tc>
          <w:tcPr>
            <w:tcW w:w="5628" w:type="dxa"/>
          </w:tcPr>
          <w:p>
            <w:pPr>
              <w:pStyle w:val="TableParagraph"/>
              <w:spacing w:line="204" w:lineRule="exact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DEMONSTRAÇÃO DOS FLUXOS DE CAIXA</w:t>
            </w:r>
          </w:p>
          <w:p>
            <w:pPr>
              <w:pStyle w:val="TableParagraph"/>
              <w:spacing w:before="99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0"/>
                <w:sz w:val="17"/>
              </w:rPr>
              <w:t>EXERCÍCIOS FINDOS EM 31 DE DEZEMBRO DE 2019 E 2018</w:t>
            </w:r>
          </w:p>
        </w:tc>
        <w:tc>
          <w:tcPr>
            <w:tcW w:w="3314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2" w:hRule="atLeast"/>
        </w:trPr>
        <w:tc>
          <w:tcPr>
            <w:tcW w:w="5628" w:type="dxa"/>
          </w:tcPr>
          <w:p>
            <w:pPr>
              <w:pStyle w:val="TableParagraph"/>
              <w:spacing w:before="36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(EM R$ 1)</w:t>
            </w:r>
          </w:p>
        </w:tc>
        <w:tc>
          <w:tcPr>
            <w:tcW w:w="331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56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45"/>
              <w:ind w:left="450" w:right="449"/>
              <w:jc w:val="center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2019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45"/>
              <w:ind w:left="451" w:right="432"/>
              <w:jc w:val="center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2018</w:t>
            </w:r>
          </w:p>
        </w:tc>
      </w:tr>
      <w:tr>
        <w:trPr>
          <w:trHeight w:val="295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FLUXO DE CAIXA DAS ATIVIDADES OPERACIONAIS</w:t>
            </w:r>
          </w:p>
        </w:tc>
        <w:tc>
          <w:tcPr>
            <w:tcW w:w="1375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5628" w:type="dxa"/>
          </w:tcPr>
          <w:p>
            <w:pPr>
              <w:pStyle w:val="TableParagraph"/>
              <w:spacing w:before="45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Lucro/Prejuízo Líquido</w:t>
            </w: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5"/>
              <w:ind w:right="10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143.916.843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5"/>
              <w:ind w:right="45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(21.029.691)</w:t>
            </w:r>
          </w:p>
        </w:tc>
      </w:tr>
      <w:tr>
        <w:trPr>
          <w:trHeight w:val="600" w:hRule="atLeast"/>
        </w:trPr>
        <w:tc>
          <w:tcPr>
            <w:tcW w:w="5628" w:type="dxa"/>
          </w:tcPr>
          <w:p>
            <w:pPr>
              <w:pStyle w:val="TableParagraph"/>
              <w:spacing w:before="40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Ajuste de Valores não Monetários</w:t>
            </w:r>
          </w:p>
          <w:p>
            <w:pPr>
              <w:pStyle w:val="TableParagraph"/>
              <w:spacing w:before="83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Depreciação e Amortização</w:t>
            </w: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8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5.724.672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4.109.810</w:t>
            </w:r>
          </w:p>
        </w:tc>
      </w:tr>
      <w:tr>
        <w:trPr>
          <w:trHeight w:val="296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Ajuste de Imobilizado e Intangível</w:t>
            </w: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8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12.748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518.267</w:t>
            </w:r>
          </w:p>
        </w:tc>
      </w:tr>
      <w:tr>
        <w:trPr>
          <w:trHeight w:val="285" w:hRule="atLeast"/>
        </w:trPr>
        <w:tc>
          <w:tcPr>
            <w:tcW w:w="5628" w:type="dxa"/>
          </w:tcPr>
          <w:p>
            <w:pPr>
              <w:pStyle w:val="TableParagraph"/>
              <w:spacing w:before="40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0"/>
                <w:sz w:val="17"/>
              </w:rPr>
              <w:t>Prejuízo Ajustado</w:t>
            </w:r>
          </w:p>
        </w:tc>
        <w:tc>
          <w:tcPr>
            <w:tcW w:w="13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right="10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149.654.263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right="45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(16.401.614)</w:t>
            </w:r>
          </w:p>
        </w:tc>
      </w:tr>
      <w:tr>
        <w:trPr>
          <w:trHeight w:val="905" w:hRule="atLeast"/>
        </w:trPr>
        <w:tc>
          <w:tcPr>
            <w:tcW w:w="5628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(Aumento) Redução nos Ativos</w:t>
            </w:r>
          </w:p>
          <w:p>
            <w:pPr>
              <w:pStyle w:val="TableParagraph"/>
              <w:spacing w:before="83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Estoque</w:t>
            </w: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(7.159.238)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55.570.655</w:t>
            </w:r>
          </w:p>
        </w:tc>
      </w:tr>
      <w:tr>
        <w:trPr>
          <w:trHeight w:val="305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85"/>
                <w:sz w:val="17"/>
              </w:rPr>
              <w:t>Clientes</w:t>
            </w:r>
          </w:p>
        </w:tc>
        <w:tc>
          <w:tcPr>
            <w:tcW w:w="1375" w:type="dxa"/>
          </w:tcPr>
          <w:p>
            <w:pPr>
              <w:pStyle w:val="TableParagraph"/>
              <w:spacing w:before="35"/>
              <w:ind w:right="8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34.408.099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3.387.547</w:t>
            </w:r>
          </w:p>
        </w:tc>
      </w:tr>
      <w:tr>
        <w:trPr>
          <w:trHeight w:val="305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85"/>
                <w:sz w:val="17"/>
              </w:rPr>
              <w:t>Impostos a Recuperar</w:t>
            </w:r>
          </w:p>
        </w:tc>
        <w:tc>
          <w:tcPr>
            <w:tcW w:w="1375" w:type="dxa"/>
          </w:tcPr>
          <w:p>
            <w:pPr>
              <w:pStyle w:val="TableParagraph"/>
              <w:spacing w:before="35"/>
              <w:ind w:right="8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2.127.446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4.561.664</w:t>
            </w:r>
          </w:p>
        </w:tc>
      </w:tr>
      <w:tr>
        <w:trPr>
          <w:trHeight w:val="305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Adiantamentos</w:t>
            </w:r>
          </w:p>
        </w:tc>
        <w:tc>
          <w:tcPr>
            <w:tcW w:w="1375" w:type="dxa"/>
          </w:tcPr>
          <w:p>
            <w:pPr>
              <w:pStyle w:val="TableParagraph"/>
              <w:spacing w:before="35"/>
              <w:ind w:right="8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318.518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254.601</w:t>
            </w:r>
          </w:p>
        </w:tc>
      </w:tr>
      <w:tr>
        <w:trPr>
          <w:trHeight w:val="464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Outros Ativos</w:t>
            </w:r>
          </w:p>
        </w:tc>
        <w:tc>
          <w:tcPr>
            <w:tcW w:w="1375" w:type="dxa"/>
          </w:tcPr>
          <w:p>
            <w:pPr>
              <w:pStyle w:val="TableParagraph"/>
              <w:spacing w:before="35"/>
              <w:ind w:right="3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(3.927.585)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8.036.526</w:t>
            </w:r>
          </w:p>
        </w:tc>
      </w:tr>
      <w:tr>
        <w:trPr>
          <w:trHeight w:val="757" w:hRule="atLeast"/>
        </w:trPr>
        <w:tc>
          <w:tcPr>
            <w:tcW w:w="5628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0"/>
                <w:sz w:val="17"/>
              </w:rPr>
              <w:t>Aumento (Redução) nos Passivos</w:t>
            </w:r>
          </w:p>
          <w:p>
            <w:pPr>
              <w:pStyle w:val="TableParagraph"/>
              <w:spacing w:before="83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Fornecedores</w:t>
            </w:r>
          </w:p>
        </w:tc>
        <w:tc>
          <w:tcPr>
            <w:tcW w:w="137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7"/>
              <w:ind w:right="3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(8.853.926)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7"/>
              <w:ind w:right="3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(3.981.408)</w:t>
            </w:r>
          </w:p>
        </w:tc>
      </w:tr>
      <w:tr>
        <w:trPr>
          <w:trHeight w:val="305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Convênios</w:t>
            </w:r>
          </w:p>
        </w:tc>
        <w:tc>
          <w:tcPr>
            <w:tcW w:w="1375" w:type="dxa"/>
          </w:tcPr>
          <w:p>
            <w:pPr>
              <w:pStyle w:val="TableParagraph"/>
              <w:spacing w:before="35"/>
              <w:ind w:right="3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(5.199.740)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2.350</w:t>
            </w:r>
          </w:p>
        </w:tc>
      </w:tr>
      <w:tr>
        <w:trPr>
          <w:trHeight w:val="305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Obrigações com Pessoal</w:t>
            </w:r>
          </w:p>
        </w:tc>
        <w:tc>
          <w:tcPr>
            <w:tcW w:w="1375" w:type="dxa"/>
          </w:tcPr>
          <w:p>
            <w:pPr>
              <w:pStyle w:val="TableParagraph"/>
              <w:spacing w:before="35"/>
              <w:ind w:right="8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205.391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573.377</w:t>
            </w:r>
          </w:p>
        </w:tc>
      </w:tr>
      <w:tr>
        <w:trPr>
          <w:trHeight w:val="305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Obrigações Tributárias</w:t>
            </w:r>
          </w:p>
        </w:tc>
        <w:tc>
          <w:tcPr>
            <w:tcW w:w="1375" w:type="dxa"/>
          </w:tcPr>
          <w:p>
            <w:pPr>
              <w:pStyle w:val="TableParagraph"/>
              <w:spacing w:before="35"/>
              <w:ind w:right="3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(2.362.843)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right="3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(3.424.505)</w:t>
            </w:r>
          </w:p>
        </w:tc>
      </w:tr>
      <w:tr>
        <w:trPr>
          <w:trHeight w:val="305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85"/>
                <w:sz w:val="17"/>
              </w:rPr>
              <w:t>Outros Passivos</w:t>
            </w:r>
          </w:p>
        </w:tc>
        <w:tc>
          <w:tcPr>
            <w:tcW w:w="1375" w:type="dxa"/>
          </w:tcPr>
          <w:p>
            <w:pPr>
              <w:pStyle w:val="TableParagraph"/>
              <w:spacing w:before="35"/>
              <w:ind w:right="8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8.953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368.347</w:t>
            </w:r>
          </w:p>
        </w:tc>
      </w:tr>
      <w:tr>
        <w:trPr>
          <w:trHeight w:val="297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AFAC</w:t>
            </w: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82"/>
              <w:jc w:val="right"/>
              <w:rPr>
                <w:sz w:val="17"/>
              </w:rPr>
            </w:pPr>
            <w:r>
              <w:rPr>
                <w:w w:val="118"/>
                <w:sz w:val="17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3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(462.087.841)</w:t>
            </w:r>
          </w:p>
        </w:tc>
      </w:tr>
      <w:tr>
        <w:trPr>
          <w:trHeight w:val="285" w:hRule="atLeast"/>
        </w:trPr>
        <w:tc>
          <w:tcPr>
            <w:tcW w:w="5628" w:type="dxa"/>
          </w:tcPr>
          <w:p>
            <w:pPr>
              <w:pStyle w:val="TableParagraph"/>
              <w:spacing w:before="40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Caixa Líquido Gerado pelas Atividades Operacionais</w:t>
            </w:r>
          </w:p>
        </w:tc>
        <w:tc>
          <w:tcPr>
            <w:tcW w:w="13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right="10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159.219.337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right="46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(413.140.301)</w:t>
            </w:r>
          </w:p>
        </w:tc>
      </w:tr>
      <w:tr>
        <w:trPr>
          <w:trHeight w:val="905" w:hRule="atLeast"/>
        </w:trPr>
        <w:tc>
          <w:tcPr>
            <w:tcW w:w="5628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5"/>
                <w:sz w:val="17"/>
              </w:rPr>
              <w:t>FLUXO DE CAIXA DAS ATIVIDADES DE INVESTIMENTO</w:t>
            </w:r>
          </w:p>
          <w:p>
            <w:pPr>
              <w:pStyle w:val="TableParagraph"/>
              <w:spacing w:before="82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Aquisição de Imobilizado</w:t>
            </w: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(17.970.294)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(14.030.551)</w:t>
            </w:r>
          </w:p>
        </w:tc>
      </w:tr>
      <w:tr>
        <w:trPr>
          <w:trHeight w:val="297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Aquisição de Intangível</w:t>
            </w: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3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(50.000)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80"/>
              <w:jc w:val="right"/>
              <w:rPr>
                <w:sz w:val="17"/>
              </w:rPr>
            </w:pPr>
            <w:r>
              <w:rPr>
                <w:w w:val="118"/>
                <w:sz w:val="17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5628" w:type="dxa"/>
          </w:tcPr>
          <w:p>
            <w:pPr>
              <w:pStyle w:val="TableParagraph"/>
              <w:spacing w:before="40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Caixa Líquido gerado pelas Atividades de Investimento</w:t>
            </w:r>
          </w:p>
        </w:tc>
        <w:tc>
          <w:tcPr>
            <w:tcW w:w="13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right="47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(18.020.294)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0"/>
              <w:ind w:right="45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(14.030.551)</w:t>
            </w:r>
          </w:p>
        </w:tc>
      </w:tr>
      <w:tr>
        <w:trPr>
          <w:trHeight w:val="904" w:hRule="atLeast"/>
        </w:trPr>
        <w:tc>
          <w:tcPr>
            <w:tcW w:w="5628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5"/>
                <w:sz w:val="17"/>
              </w:rPr>
              <w:t>FLUXO DE CAIXA DAS ATIVIDADES DE FINANCIAMENTO</w:t>
            </w:r>
          </w:p>
          <w:p>
            <w:pPr>
              <w:pStyle w:val="TableParagraph"/>
              <w:spacing w:before="82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Integralização de Capital</w:t>
            </w: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w w:val="118"/>
                <w:sz w:val="17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478.380.168</w:t>
            </w:r>
          </w:p>
        </w:tc>
      </w:tr>
      <w:tr>
        <w:trPr>
          <w:trHeight w:val="297" w:hRule="atLeast"/>
        </w:trPr>
        <w:tc>
          <w:tcPr>
            <w:tcW w:w="5628" w:type="dxa"/>
          </w:tcPr>
          <w:p>
            <w:pPr>
              <w:pStyle w:val="TableParagraph"/>
              <w:spacing w:before="35"/>
              <w:ind w:left="50"/>
              <w:rPr>
                <w:sz w:val="17"/>
              </w:rPr>
            </w:pPr>
            <w:r>
              <w:rPr>
                <w:w w:val="90"/>
                <w:sz w:val="17"/>
              </w:rPr>
              <w:t>AFAC</w:t>
            </w: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82"/>
              <w:jc w:val="right"/>
              <w:rPr>
                <w:sz w:val="17"/>
              </w:rPr>
            </w:pPr>
            <w:r>
              <w:rPr>
                <w:w w:val="118"/>
                <w:sz w:val="17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302.262.339</w:t>
            </w:r>
          </w:p>
        </w:tc>
      </w:tr>
      <w:tr>
        <w:trPr>
          <w:trHeight w:val="285" w:hRule="atLeast"/>
        </w:trPr>
        <w:tc>
          <w:tcPr>
            <w:tcW w:w="5628" w:type="dxa"/>
          </w:tcPr>
          <w:p>
            <w:pPr>
              <w:pStyle w:val="TableParagraph"/>
              <w:spacing w:before="39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5"/>
                <w:sz w:val="17"/>
              </w:rPr>
              <w:t>Caixa Líquido Gerado pelas Atividades de Financiamento</w:t>
            </w:r>
          </w:p>
        </w:tc>
        <w:tc>
          <w:tcPr>
            <w:tcW w:w="13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right="97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83"/>
                <w:sz w:val="17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right="102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780.642.507</w:t>
            </w:r>
          </w:p>
        </w:tc>
      </w:tr>
      <w:tr>
        <w:trPr>
          <w:trHeight w:val="293" w:hRule="atLeast"/>
        </w:trPr>
        <w:tc>
          <w:tcPr>
            <w:tcW w:w="5628" w:type="dxa"/>
          </w:tcPr>
          <w:p>
            <w:pPr>
              <w:pStyle w:val="TableParagraph"/>
              <w:spacing w:before="39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0"/>
                <w:sz w:val="17"/>
              </w:rPr>
              <w:t>Aumento (Redução) nas Disponibilidades</w:t>
            </w: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9"/>
              <w:ind w:right="10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141.199.043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9"/>
              <w:ind w:right="102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353.471.655</w:t>
            </w:r>
          </w:p>
        </w:tc>
      </w:tr>
      <w:tr>
        <w:trPr>
          <w:trHeight w:val="306" w:hRule="atLeast"/>
        </w:trPr>
        <w:tc>
          <w:tcPr>
            <w:tcW w:w="5628" w:type="dxa"/>
          </w:tcPr>
          <w:p>
            <w:pPr>
              <w:pStyle w:val="TableParagraph"/>
              <w:spacing w:before="52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Saldo Inicial das Disponibilidades</w:t>
            </w:r>
          </w:p>
        </w:tc>
        <w:tc>
          <w:tcPr>
            <w:tcW w:w="1375" w:type="dxa"/>
          </w:tcPr>
          <w:p>
            <w:pPr>
              <w:pStyle w:val="TableParagraph"/>
              <w:spacing w:before="36"/>
              <w:ind w:right="8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561.066.635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36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207.594.980</w:t>
            </w:r>
          </w:p>
        </w:tc>
      </w:tr>
      <w:tr>
        <w:trPr>
          <w:trHeight w:val="297" w:hRule="atLeast"/>
        </w:trPr>
        <w:tc>
          <w:tcPr>
            <w:tcW w:w="5628" w:type="dxa"/>
          </w:tcPr>
          <w:p>
            <w:pPr>
              <w:pStyle w:val="TableParagraph"/>
              <w:spacing w:before="51"/>
              <w:ind w:left="50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90"/>
                <w:sz w:val="17"/>
              </w:rPr>
              <w:t>Saldo Final das Disponibilidades</w:t>
            </w:r>
          </w:p>
        </w:tc>
        <w:tc>
          <w:tcPr>
            <w:tcW w:w="13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89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702.265.678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5"/>
              <w:ind w:right="87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561.066.635</w:t>
            </w:r>
          </w:p>
        </w:tc>
      </w:tr>
      <w:tr>
        <w:trPr>
          <w:trHeight w:val="280" w:hRule="atLeast"/>
        </w:trPr>
        <w:tc>
          <w:tcPr>
            <w:tcW w:w="5628" w:type="dxa"/>
          </w:tcPr>
          <w:p>
            <w:pPr>
              <w:pStyle w:val="TableParagraph"/>
              <w:spacing w:before="39"/>
              <w:ind w:left="5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w w:val="90"/>
                <w:sz w:val="17"/>
              </w:rPr>
              <w:t>Aumento (Redução) nas Disponibilidades</w:t>
            </w:r>
          </w:p>
        </w:tc>
        <w:tc>
          <w:tcPr>
            <w:tcW w:w="13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right="104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141.199.043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39"/>
              <w:ind w:right="102"/>
              <w:jc w:val="right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w w:val="75"/>
                <w:sz w:val="17"/>
              </w:rPr>
              <w:t>353.471.655</w:t>
            </w:r>
          </w:p>
        </w:tc>
      </w:tr>
      <w:tr>
        <w:trPr>
          <w:trHeight w:val="232" w:hRule="atLeast"/>
        </w:trPr>
        <w:tc>
          <w:tcPr>
            <w:tcW w:w="5628" w:type="dxa"/>
          </w:tcPr>
          <w:p>
            <w:pPr>
              <w:pStyle w:val="TableParagraph"/>
              <w:spacing w:line="209" w:lineRule="exact" w:before="3"/>
              <w:ind w:left="50"/>
              <w:rPr>
                <w:sz w:val="17"/>
              </w:rPr>
            </w:pPr>
            <w:r>
              <w:rPr>
                <w:w w:val="80"/>
                <w:sz w:val="17"/>
              </w:rPr>
              <w:t>As notas explicativas são parte integrante das demonstrações contábeis.</w:t>
            </w:r>
          </w:p>
        </w:tc>
        <w:tc>
          <w:tcPr>
            <w:tcW w:w="137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9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24"/>
          <w:footerReference w:type="default" r:id="rId25"/>
          <w:pgSz w:w="11910" w:h="16840"/>
          <w:pgMar w:header="593" w:footer="546" w:top="1280" w:bottom="740" w:left="1280" w:right="1300"/>
          <w:pgNumType w:start="6"/>
        </w:sectPr>
      </w:pPr>
    </w:p>
    <w:p>
      <w:pPr>
        <w:pStyle w:val="BodyText"/>
        <w:spacing w:before="2"/>
        <w:rPr>
          <w:rFonts w:ascii="Arial Black"/>
          <w:sz w:val="9"/>
        </w:rPr>
      </w:pPr>
    </w:p>
    <w:p>
      <w:pPr>
        <w:pStyle w:val="BodyText"/>
        <w:ind w:left="137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5677631" cy="7380922"/>
            <wp:effectExtent l="0" t="0" r="0" b="0"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631" cy="73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spacing w:after="0"/>
        <w:rPr>
          <w:rFonts w:ascii="Arial Black"/>
          <w:sz w:val="20"/>
        </w:rPr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0"/>
          <w:numId w:val="1"/>
        </w:numPr>
        <w:tabs>
          <w:tab w:pos="488" w:val="left" w:leader="none"/>
          <w:tab w:pos="490" w:val="left" w:leader="none"/>
        </w:tabs>
        <w:spacing w:line="240" w:lineRule="auto" w:before="63" w:after="0"/>
        <w:ind w:left="489" w:right="0" w:hanging="353"/>
        <w:jc w:val="left"/>
        <w:rPr>
          <w:b w:val="0"/>
        </w:rPr>
      </w:pPr>
      <w:r>
        <w:rPr>
          <w:b w:val="0"/>
          <w:color w:val="9D534E"/>
        </w:rPr>
        <w:t>CONTEXTO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OPERACIONAL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 w:before="1"/>
        <w:ind w:left="137" w:right="111" w:firstLine="226"/>
        <w:jc w:val="both"/>
      </w:pPr>
      <w:r>
        <w:rPr/>
        <w:t>A Empresa Brasileira de Hemoderivados e Biotecnologia – Hemobrás, doravante denominada “Hemobrás” ou “Companhia”, é uma empresa pública de personalidade jurídica de direito privado, sob </w:t>
      </w:r>
      <w:r>
        <w:rPr>
          <w:spacing w:val="2"/>
        </w:rPr>
        <w:t>controle </w:t>
      </w:r>
      <w:r>
        <w:rPr/>
        <w:t>da </w:t>
      </w:r>
      <w:r>
        <w:rPr>
          <w:spacing w:val="2"/>
        </w:rPr>
        <w:t>União, </w:t>
      </w:r>
      <w:r>
        <w:rPr/>
        <w:t>com prazo de duração </w:t>
      </w:r>
      <w:r>
        <w:rPr>
          <w:spacing w:val="2"/>
        </w:rPr>
        <w:t>indeterminado, constituída </w:t>
      </w:r>
      <w:r>
        <w:rPr/>
        <w:t>nos </w:t>
      </w:r>
      <w:r>
        <w:rPr>
          <w:spacing w:val="2"/>
        </w:rPr>
        <w:t>termos </w:t>
      </w:r>
      <w:r>
        <w:rPr/>
        <w:t>da Lei      nº</w:t>
      </w:r>
      <w:r>
        <w:rPr>
          <w:spacing w:val="-15"/>
        </w:rPr>
        <w:t> </w:t>
      </w:r>
      <w:r>
        <w:rPr/>
        <w:t>10.972,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dezembro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2004,</w:t>
      </w:r>
      <w:r>
        <w:rPr>
          <w:spacing w:val="-16"/>
        </w:rPr>
        <w:t> </w:t>
      </w:r>
      <w:r>
        <w:rPr/>
        <w:t>regida</w:t>
      </w:r>
      <w:r>
        <w:rPr>
          <w:spacing w:val="-15"/>
        </w:rPr>
        <w:t> </w:t>
      </w:r>
      <w:r>
        <w:rPr/>
        <w:t>pela</w:t>
      </w:r>
      <w:r>
        <w:rPr>
          <w:spacing w:val="-14"/>
        </w:rPr>
        <w:t> </w:t>
      </w:r>
      <w:r>
        <w:rPr/>
        <w:t>Lei</w:t>
      </w:r>
      <w:r>
        <w:rPr>
          <w:spacing w:val="-15"/>
        </w:rPr>
        <w:t> </w:t>
      </w:r>
      <w:r>
        <w:rPr/>
        <w:t>das</w:t>
      </w:r>
      <w:r>
        <w:rPr>
          <w:spacing w:val="-15"/>
        </w:rPr>
        <w:t> </w:t>
      </w:r>
      <w:r>
        <w:rPr/>
        <w:t>Sociedades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Ações</w:t>
      </w:r>
      <w:r>
        <w:rPr>
          <w:spacing w:val="-15"/>
        </w:rPr>
        <w:t> </w:t>
      </w:r>
      <w:r>
        <w:rPr/>
        <w:t>(Lei</w:t>
      </w:r>
      <w:r>
        <w:rPr>
          <w:spacing w:val="-15"/>
        </w:rPr>
        <w:t> </w:t>
      </w:r>
      <w:r>
        <w:rPr/>
        <w:t>nº</w:t>
      </w:r>
      <w:r>
        <w:rPr>
          <w:spacing w:val="-15"/>
        </w:rPr>
        <w:t> </w:t>
      </w:r>
      <w:r>
        <w:rPr/>
        <w:t>6.404,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15 de</w:t>
      </w:r>
      <w:r>
        <w:rPr>
          <w:spacing w:val="-8"/>
        </w:rPr>
        <w:t> </w:t>
      </w:r>
      <w:r>
        <w:rPr/>
        <w:t>dezembro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1976),</w:t>
      </w:r>
      <w:r>
        <w:rPr>
          <w:spacing w:val="-7"/>
        </w:rPr>
        <w:t> </w:t>
      </w:r>
      <w:r>
        <w:rPr/>
        <w:t>pelo</w:t>
      </w:r>
      <w:r>
        <w:rPr>
          <w:spacing w:val="-8"/>
        </w:rPr>
        <w:t> </w:t>
      </w:r>
      <w:r>
        <w:rPr/>
        <w:t>Estatuto</w:t>
      </w:r>
      <w:r>
        <w:rPr>
          <w:spacing w:val="-7"/>
        </w:rPr>
        <w:t> </w:t>
      </w:r>
      <w:r>
        <w:rPr/>
        <w:t>Jurídico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Estatais</w:t>
      </w:r>
      <w:r>
        <w:rPr>
          <w:spacing w:val="-8"/>
        </w:rPr>
        <w:t> </w:t>
      </w:r>
      <w:r>
        <w:rPr/>
        <w:t>(Lei</w:t>
      </w:r>
      <w:r>
        <w:rPr>
          <w:spacing w:val="-7"/>
        </w:rPr>
        <w:t> </w:t>
      </w:r>
      <w:r>
        <w:rPr/>
        <w:t>nº</w:t>
      </w:r>
      <w:r>
        <w:rPr>
          <w:spacing w:val="-7"/>
        </w:rPr>
        <w:t> </w:t>
      </w:r>
      <w:r>
        <w:rPr/>
        <w:t>13.303,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30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junho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2016), pelo Decreto nº 8.945, de dezembro de 2016, e por seu Estatuto</w:t>
      </w:r>
      <w:r>
        <w:rPr>
          <w:spacing w:val="-10"/>
        </w:rPr>
        <w:t> </w:t>
      </w:r>
      <w:r>
        <w:rPr/>
        <w:t>Social.</w:t>
      </w:r>
    </w:p>
    <w:p>
      <w:pPr>
        <w:pStyle w:val="BodyText"/>
        <w:spacing w:line="247" w:lineRule="auto" w:before="144"/>
        <w:ind w:left="137" w:right="114" w:firstLine="226"/>
        <w:jc w:val="both"/>
      </w:pPr>
      <w:r>
        <w:rPr/>
        <w:t>A Companhia tem como atividade principal a produção e comercialização de medicamentos biotecnológicos</w:t>
      </w:r>
      <w:r>
        <w:rPr>
          <w:spacing w:val="-22"/>
        </w:rPr>
        <w:t> </w:t>
      </w:r>
      <w:r>
        <w:rPr/>
        <w:t>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medicamentos</w:t>
      </w:r>
      <w:r>
        <w:rPr>
          <w:spacing w:val="-21"/>
        </w:rPr>
        <w:t> </w:t>
      </w:r>
      <w:r>
        <w:rPr/>
        <w:t>hemoderivados,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partir</w:t>
      </w:r>
      <w:r>
        <w:rPr>
          <w:spacing w:val="-21"/>
        </w:rPr>
        <w:t> </w:t>
      </w:r>
      <w:r>
        <w:rPr/>
        <w:t>do</w:t>
      </w:r>
      <w:r>
        <w:rPr>
          <w:spacing w:val="-21"/>
        </w:rPr>
        <w:t> </w:t>
      </w:r>
      <w:r>
        <w:rPr/>
        <w:t>fracionamento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plasma</w:t>
      </w:r>
      <w:r>
        <w:rPr>
          <w:spacing w:val="-21"/>
        </w:rPr>
        <w:t> </w:t>
      </w:r>
      <w:r>
        <w:rPr/>
        <w:t>obtido</w:t>
      </w:r>
      <w:r>
        <w:rPr>
          <w:spacing w:val="-21"/>
        </w:rPr>
        <w:t> </w:t>
      </w:r>
      <w:r>
        <w:rPr/>
        <w:t>no Brasil,</w:t>
      </w:r>
      <w:r>
        <w:rPr>
          <w:spacing w:val="-10"/>
        </w:rPr>
        <w:t> </w:t>
      </w:r>
      <w:r>
        <w:rPr/>
        <w:t>vedada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comercialização</w:t>
      </w:r>
      <w:r>
        <w:rPr>
          <w:spacing w:val="-11"/>
        </w:rPr>
        <w:t> </w:t>
      </w:r>
      <w:r>
        <w:rPr/>
        <w:t>somente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produtos</w:t>
      </w:r>
      <w:r>
        <w:rPr>
          <w:spacing w:val="-10"/>
        </w:rPr>
        <w:t> </w:t>
      </w:r>
      <w:r>
        <w:rPr/>
        <w:t>deles</w:t>
      </w:r>
      <w:r>
        <w:rPr>
          <w:spacing w:val="-10"/>
        </w:rPr>
        <w:t> </w:t>
      </w:r>
      <w:r>
        <w:rPr/>
        <w:t>resultantes,</w:t>
      </w:r>
      <w:r>
        <w:rPr>
          <w:spacing w:val="-10"/>
        </w:rPr>
        <w:t> </w:t>
      </w:r>
      <w:r>
        <w:rPr/>
        <w:t>podendo</w:t>
      </w:r>
      <w:r>
        <w:rPr>
          <w:spacing w:val="-10"/>
        </w:rPr>
        <w:t> </w:t>
      </w:r>
      <w:r>
        <w:rPr/>
        <w:t>ser</w:t>
      </w:r>
      <w:r>
        <w:rPr>
          <w:spacing w:val="-10"/>
        </w:rPr>
        <w:t> </w:t>
      </w:r>
      <w:r>
        <w:rPr/>
        <w:t>ressarcida pelos serviços de fracionamento, de acordo com o previsto no parágrafo único do art. 2º da Lei nº</w:t>
      </w:r>
      <w:r>
        <w:rPr>
          <w:spacing w:val="-10"/>
        </w:rPr>
        <w:t> </w:t>
      </w:r>
      <w:r>
        <w:rPr/>
        <w:t>10.205,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21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março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2001.</w:t>
      </w:r>
      <w:r>
        <w:rPr>
          <w:spacing w:val="-9"/>
        </w:rPr>
        <w:t> </w:t>
      </w:r>
      <w:r>
        <w:rPr/>
        <w:t>Atualmente,</w:t>
      </w:r>
      <w:r>
        <w:rPr>
          <w:spacing w:val="-10"/>
        </w:rPr>
        <w:t> </w:t>
      </w:r>
      <w:r>
        <w:rPr/>
        <w:t>os</w:t>
      </w:r>
      <w:r>
        <w:rPr>
          <w:spacing w:val="-9"/>
        </w:rPr>
        <w:t> </w:t>
      </w:r>
      <w:r>
        <w:rPr/>
        <w:t>medicamentos</w:t>
      </w:r>
      <w:r>
        <w:rPr>
          <w:spacing w:val="-10"/>
        </w:rPr>
        <w:t> </w:t>
      </w:r>
      <w:r>
        <w:rPr/>
        <w:t>produzidos</w:t>
      </w:r>
      <w:r>
        <w:rPr>
          <w:spacing w:val="-9"/>
        </w:rPr>
        <w:t> </w:t>
      </w:r>
      <w:r>
        <w:rPr/>
        <w:t>pela</w:t>
      </w:r>
      <w:r>
        <w:rPr>
          <w:spacing w:val="-10"/>
        </w:rPr>
        <w:t> </w:t>
      </w:r>
      <w:r>
        <w:rPr/>
        <w:t>Hemobrás</w:t>
      </w:r>
      <w:r>
        <w:rPr>
          <w:spacing w:val="-9"/>
        </w:rPr>
        <w:t> </w:t>
      </w:r>
      <w:r>
        <w:rPr/>
        <w:t>são destinados para tratamento de pacientes do Sistema Único de Saúde –</w:t>
      </w:r>
      <w:r>
        <w:rPr>
          <w:spacing w:val="-14"/>
        </w:rPr>
        <w:t> </w:t>
      </w:r>
      <w:r>
        <w:rPr/>
        <w:t>SUS.</w:t>
      </w:r>
    </w:p>
    <w:p>
      <w:pPr>
        <w:pStyle w:val="BodyText"/>
        <w:spacing w:line="247" w:lineRule="auto" w:before="144"/>
        <w:ind w:left="137" w:right="114" w:firstLine="226"/>
        <w:jc w:val="both"/>
      </w:pPr>
      <w:r>
        <w:rPr/>
        <w:t>Os principais produtos que serão distribuídos pela Hemobrás são a albumina, o complexo protrombínico,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fator</w:t>
      </w:r>
      <w:r>
        <w:rPr>
          <w:spacing w:val="-15"/>
        </w:rPr>
        <w:t> </w:t>
      </w:r>
      <w:r>
        <w:rPr/>
        <w:t>IX,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fator</w:t>
      </w:r>
      <w:r>
        <w:rPr>
          <w:spacing w:val="-15"/>
        </w:rPr>
        <w:t> </w:t>
      </w:r>
      <w:r>
        <w:rPr/>
        <w:t>VIII</w:t>
      </w:r>
      <w:r>
        <w:rPr>
          <w:spacing w:val="-15"/>
        </w:rPr>
        <w:t> </w:t>
      </w:r>
      <w:r>
        <w:rPr/>
        <w:t>plasmático,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fator</w:t>
      </w:r>
      <w:r>
        <w:rPr>
          <w:spacing w:val="-15"/>
        </w:rPr>
        <w:t> </w:t>
      </w:r>
      <w:r>
        <w:rPr/>
        <w:t>VIII</w:t>
      </w:r>
      <w:r>
        <w:rPr>
          <w:spacing w:val="-15"/>
        </w:rPr>
        <w:t> </w:t>
      </w:r>
      <w:r>
        <w:rPr/>
        <w:t>recombinante,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fator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von</w:t>
      </w:r>
      <w:r>
        <w:rPr>
          <w:spacing w:val="-16"/>
        </w:rPr>
        <w:t> </w:t>
      </w:r>
      <w:r>
        <w:rPr/>
        <w:t>Willebrand e a imunoglobulina.</w:t>
      </w:r>
    </w:p>
    <w:p>
      <w:pPr>
        <w:pStyle w:val="BodyText"/>
        <w:spacing w:before="143"/>
        <w:ind w:left="364"/>
        <w:jc w:val="both"/>
      </w:pPr>
      <w:r>
        <w:rPr/>
        <w:t>A Hemobrás está sediada em Brasília-DF e possui quatro filiais no estado de Pernambuco, na</w:t>
      </w:r>
    </w:p>
    <w:p>
      <w:pPr>
        <w:pStyle w:val="BodyText"/>
        <w:spacing w:before="8"/>
        <w:ind w:left="137"/>
      </w:pPr>
      <w:r>
        <w:rPr/>
        <w:t>cidade do Recife, Abreu e Lima, Cabo de Santo Agostinho e Goiana.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Destaques no</w:t>
      </w:r>
      <w:r>
        <w:rPr>
          <w:b w:val="0"/>
          <w:color w:val="7C7B7B"/>
          <w:spacing w:val="-2"/>
        </w:rPr>
        <w:t> </w:t>
      </w:r>
      <w:r>
        <w:rPr>
          <w:b w:val="0"/>
          <w:color w:val="7C7B7B"/>
        </w:rPr>
        <w:t>Exercício</w:t>
      </w:r>
    </w:p>
    <w:p>
      <w:pPr>
        <w:pStyle w:val="BodyText"/>
        <w:spacing w:before="171"/>
        <w:ind w:left="364"/>
        <w:jc w:val="both"/>
      </w:pPr>
      <w:r>
        <w:rPr/>
        <w:t>No exercício de 2019, a Hemobrás finalizou as seguintes obras da fábrica em Goiana-PE:</w:t>
      </w:r>
    </w:p>
    <w:p>
      <w:pPr>
        <w:pStyle w:val="ListParagraph"/>
        <w:numPr>
          <w:ilvl w:val="2"/>
          <w:numId w:val="1"/>
        </w:numPr>
        <w:tabs>
          <w:tab w:pos="648" w:val="left" w:leader="none"/>
        </w:tabs>
        <w:spacing w:line="242" w:lineRule="auto" w:before="130" w:after="0"/>
        <w:ind w:left="647" w:right="112" w:hanging="284"/>
        <w:jc w:val="both"/>
        <w:rPr>
          <w:rFonts w:ascii="RobotoRegular" w:hAnsi="RobotoRegular"/>
          <w:sz w:val="21"/>
        </w:rPr>
      </w:pPr>
      <w:r>
        <w:rPr>
          <w:rFonts w:ascii="RobotoRegular" w:hAnsi="RobotoRegular"/>
          <w:sz w:val="21"/>
        </w:rPr>
        <w:t>Subestação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69kV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(Bloco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B18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e</w:t>
      </w:r>
      <w:r>
        <w:rPr>
          <w:rFonts w:ascii="RobotoRegular" w:hAnsi="RobotoRegular"/>
          <w:spacing w:val="-17"/>
          <w:sz w:val="21"/>
        </w:rPr>
        <w:t> </w:t>
      </w:r>
      <w:r>
        <w:rPr>
          <w:rFonts w:ascii="RobotoRegular" w:hAnsi="RobotoRegular"/>
          <w:sz w:val="21"/>
        </w:rPr>
        <w:t>Bloco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B19),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responsável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pela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alimentação</w:t>
      </w:r>
      <w:r>
        <w:rPr>
          <w:rFonts w:ascii="RobotoRegular" w:hAnsi="RobotoRegular"/>
          <w:spacing w:val="-17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toda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a</w:t>
      </w:r>
      <w:r>
        <w:rPr>
          <w:rFonts w:ascii="RobotoRegular" w:hAnsi="RobotoRegular"/>
          <w:spacing w:val="-18"/>
          <w:sz w:val="21"/>
        </w:rPr>
        <w:t> </w:t>
      </w:r>
      <w:r>
        <w:rPr>
          <w:rFonts w:ascii="RobotoRegular" w:hAnsi="RobotoRegular"/>
          <w:sz w:val="21"/>
        </w:rPr>
        <w:t>energia elétrica necessária à estrutura fabril e aos blocos de apoio. A subestação possui </w:t>
      </w:r>
      <w:r>
        <w:rPr>
          <w:i/>
          <w:sz w:val="21"/>
        </w:rPr>
        <w:t>backup   </w:t>
      </w:r>
      <w:r>
        <w:rPr>
          <w:rFonts w:ascii="RobotoRegular" w:hAnsi="RobotoRegular"/>
          <w:sz w:val="21"/>
        </w:rPr>
        <w:t>de todos os equipamentos, inclusive na alimentação de energia, já que a concessionária responsável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instalou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duas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linhas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transmissão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–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uma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oriunda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da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subestação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Goianinha, e outra de Condado. Com seu funcionamento, desde setembro de 2019, a subestação supre toda a fábrica com energia de melhor qualidade e com menor risco de</w:t>
      </w:r>
      <w:r>
        <w:rPr>
          <w:rFonts w:ascii="RobotoRegular" w:hAnsi="RobotoRegular"/>
          <w:spacing w:val="-22"/>
          <w:sz w:val="21"/>
        </w:rPr>
        <w:t> </w:t>
      </w:r>
      <w:r>
        <w:rPr>
          <w:rFonts w:ascii="RobotoRegular" w:hAnsi="RobotoRegular"/>
          <w:sz w:val="21"/>
        </w:rPr>
        <w:t>queda.</w:t>
      </w:r>
    </w:p>
    <w:p>
      <w:pPr>
        <w:pStyle w:val="ListParagraph"/>
        <w:numPr>
          <w:ilvl w:val="2"/>
          <w:numId w:val="1"/>
        </w:numPr>
        <w:tabs>
          <w:tab w:pos="648" w:val="left" w:leader="none"/>
        </w:tabs>
        <w:spacing w:line="247" w:lineRule="auto" w:before="124" w:after="0"/>
        <w:ind w:left="647" w:right="113" w:hanging="284"/>
        <w:jc w:val="both"/>
        <w:rPr>
          <w:rFonts w:ascii="RobotoRegular" w:hAnsi="RobotoRegular"/>
          <w:sz w:val="21"/>
        </w:rPr>
      </w:pPr>
      <w:r>
        <w:rPr>
          <w:rFonts w:ascii="RobotoRegular" w:hAnsi="RobotoRegular"/>
          <w:sz w:val="21"/>
        </w:rPr>
        <w:t>Bloco</w:t>
      </w:r>
      <w:r>
        <w:rPr>
          <w:rFonts w:ascii="RobotoRegular" w:hAnsi="RobotoRegular"/>
          <w:spacing w:val="-21"/>
          <w:sz w:val="21"/>
        </w:rPr>
        <w:t> </w:t>
      </w:r>
      <w:r>
        <w:rPr>
          <w:rFonts w:ascii="RobotoRegular" w:hAnsi="RobotoRegular"/>
          <w:sz w:val="21"/>
        </w:rPr>
        <w:t>B05</w:t>
      </w:r>
      <w:r>
        <w:rPr>
          <w:rFonts w:ascii="RobotoRegular" w:hAnsi="RobotoRegular"/>
          <w:spacing w:val="-21"/>
          <w:sz w:val="21"/>
        </w:rPr>
        <w:t> </w:t>
      </w:r>
      <w:r>
        <w:rPr>
          <w:rFonts w:ascii="RobotoRegular" w:hAnsi="RobotoRegular"/>
          <w:sz w:val="21"/>
        </w:rPr>
        <w:t>(almoxarifado),</w:t>
      </w:r>
      <w:r>
        <w:rPr>
          <w:rFonts w:ascii="RobotoRegular" w:hAnsi="RobotoRegular"/>
          <w:spacing w:val="-21"/>
          <w:sz w:val="21"/>
        </w:rPr>
        <w:t> </w:t>
      </w:r>
      <w:r>
        <w:rPr>
          <w:rFonts w:ascii="RobotoRegular" w:hAnsi="RobotoRegular"/>
          <w:sz w:val="21"/>
        </w:rPr>
        <w:t>destinado</w:t>
      </w:r>
      <w:r>
        <w:rPr>
          <w:rFonts w:ascii="RobotoRegular" w:hAnsi="RobotoRegular"/>
          <w:spacing w:val="-21"/>
          <w:sz w:val="21"/>
        </w:rPr>
        <w:t> </w:t>
      </w:r>
      <w:r>
        <w:rPr>
          <w:rFonts w:ascii="RobotoRegular" w:hAnsi="RobotoRegular"/>
          <w:sz w:val="21"/>
        </w:rPr>
        <w:t>à</w:t>
      </w:r>
      <w:r>
        <w:rPr>
          <w:rFonts w:ascii="RobotoRegular" w:hAnsi="RobotoRegular"/>
          <w:spacing w:val="-21"/>
          <w:sz w:val="21"/>
        </w:rPr>
        <w:t> </w:t>
      </w:r>
      <w:r>
        <w:rPr>
          <w:rFonts w:ascii="RobotoRegular" w:hAnsi="RobotoRegular"/>
          <w:sz w:val="21"/>
        </w:rPr>
        <w:t>manutenção</w:t>
      </w:r>
      <w:r>
        <w:rPr>
          <w:rFonts w:ascii="RobotoRegular" w:hAnsi="RobotoRegular"/>
          <w:spacing w:val="-20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21"/>
          <w:sz w:val="21"/>
        </w:rPr>
        <w:t> </w:t>
      </w:r>
      <w:r>
        <w:rPr>
          <w:rFonts w:ascii="RobotoRegular" w:hAnsi="RobotoRegular"/>
          <w:sz w:val="21"/>
        </w:rPr>
        <w:t>estoques</w:t>
      </w:r>
      <w:r>
        <w:rPr>
          <w:rFonts w:ascii="RobotoRegular" w:hAnsi="RobotoRegular"/>
          <w:spacing w:val="-21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21"/>
          <w:sz w:val="21"/>
        </w:rPr>
        <w:t> </w:t>
      </w:r>
      <w:r>
        <w:rPr>
          <w:rFonts w:ascii="RobotoRegular" w:hAnsi="RobotoRegular"/>
          <w:sz w:val="21"/>
        </w:rPr>
        <w:t>medicamentos</w:t>
      </w:r>
      <w:r>
        <w:rPr>
          <w:rFonts w:ascii="RobotoRegular" w:hAnsi="RobotoRegular"/>
          <w:spacing w:val="-21"/>
          <w:sz w:val="21"/>
        </w:rPr>
        <w:t> </w:t>
      </w:r>
      <w:r>
        <w:rPr>
          <w:rFonts w:ascii="RobotoRegular" w:hAnsi="RobotoRegular"/>
          <w:sz w:val="21"/>
        </w:rPr>
        <w:t>acabados. Trata-se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estrutura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projetada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para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atender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a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armazenagem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medicamentos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e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15"/>
          <w:sz w:val="21"/>
        </w:rPr>
        <w:t> </w:t>
      </w:r>
      <w:r>
        <w:rPr>
          <w:rFonts w:ascii="RobotoRegular" w:hAnsi="RobotoRegular"/>
          <w:sz w:val="21"/>
        </w:rPr>
        <w:t>insumos termolábeis,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em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operação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desde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novembro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de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2019.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Armazena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medicamentos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e</w:t>
      </w:r>
      <w:r>
        <w:rPr>
          <w:rFonts w:ascii="RobotoRegular" w:hAnsi="RobotoRegular"/>
          <w:spacing w:val="-14"/>
          <w:sz w:val="21"/>
        </w:rPr>
        <w:t> </w:t>
      </w:r>
      <w:r>
        <w:rPr>
          <w:rFonts w:ascii="RobotoRegular" w:hAnsi="RobotoRegular"/>
          <w:sz w:val="21"/>
        </w:rPr>
        <w:t>permite</w:t>
      </w:r>
      <w:r>
        <w:rPr>
          <w:rFonts w:ascii="RobotoRegular" w:hAnsi="RobotoRegular"/>
          <w:spacing w:val="-13"/>
          <w:sz w:val="21"/>
        </w:rPr>
        <w:t> </w:t>
      </w:r>
      <w:r>
        <w:rPr>
          <w:rFonts w:ascii="RobotoRegular" w:hAnsi="RobotoRegular"/>
          <w:sz w:val="21"/>
        </w:rPr>
        <w:t>que a Hemobrás não dependa de contratação de armazéns externos terceirizados para suportar parte da operação</w:t>
      </w:r>
      <w:r>
        <w:rPr>
          <w:rFonts w:ascii="RobotoRegular" w:hAnsi="RobotoRegular"/>
          <w:spacing w:val="-1"/>
          <w:sz w:val="21"/>
        </w:rPr>
        <w:t> </w:t>
      </w:r>
      <w:r>
        <w:rPr>
          <w:rFonts w:ascii="RobotoRegular" w:hAnsi="RobotoRegular"/>
          <w:sz w:val="21"/>
        </w:rPr>
        <w:t>logística.</w:t>
      </w:r>
    </w:p>
    <w:p>
      <w:pPr>
        <w:pStyle w:val="BodyText"/>
        <w:spacing w:line="247" w:lineRule="auto" w:before="138"/>
        <w:ind w:left="137" w:right="112" w:firstLine="226"/>
        <w:jc w:val="both"/>
      </w:pPr>
      <w:r>
        <w:rPr/>
        <w:t>No</w:t>
      </w:r>
      <w:r>
        <w:rPr>
          <w:spacing w:val="-21"/>
        </w:rPr>
        <w:t> </w:t>
      </w:r>
      <w:r>
        <w:rPr/>
        <w:t>exercício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2019,</w:t>
      </w:r>
      <w:r>
        <w:rPr>
          <w:spacing w:val="-21"/>
        </w:rPr>
        <w:t> </w:t>
      </w:r>
      <w:r>
        <w:rPr/>
        <w:t>houve</w:t>
      </w:r>
      <w:r>
        <w:rPr>
          <w:spacing w:val="-21"/>
        </w:rPr>
        <w:t> </w:t>
      </w:r>
      <w:r>
        <w:rPr/>
        <w:t>avanço</w:t>
      </w:r>
      <w:r>
        <w:rPr>
          <w:spacing w:val="-21"/>
        </w:rPr>
        <w:t> </w:t>
      </w:r>
      <w:r>
        <w:rPr/>
        <w:t>significativo</w:t>
      </w:r>
      <w:r>
        <w:rPr>
          <w:spacing w:val="-21"/>
        </w:rPr>
        <w:t> </w:t>
      </w:r>
      <w:r>
        <w:rPr/>
        <w:t>na</w:t>
      </w:r>
      <w:r>
        <w:rPr>
          <w:spacing w:val="-21"/>
        </w:rPr>
        <w:t> </w:t>
      </w:r>
      <w:r>
        <w:rPr/>
        <w:t>Parceria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Desenvolvimento</w:t>
      </w:r>
      <w:r>
        <w:rPr>
          <w:spacing w:val="-21"/>
        </w:rPr>
        <w:t> </w:t>
      </w:r>
      <w:r>
        <w:rPr/>
        <w:t>Produtivo</w:t>
      </w:r>
      <w:r>
        <w:rPr>
          <w:spacing w:val="-21"/>
        </w:rPr>
        <w:t> </w:t>
      </w:r>
      <w:r>
        <w:rPr/>
        <w:t>– </w:t>
      </w:r>
      <w:r>
        <w:rPr>
          <w:spacing w:val="-7"/>
        </w:rPr>
        <w:t>PDP, </w:t>
      </w:r>
      <w:r>
        <w:rPr/>
        <w:t>com a contratação da empresa responsável para construção da planta de produção de medicamentos biotecnológicos com a tecnologia recombinante. O início das obras civis está previsto para 2020, e os recursos serão provenientes do investimento do parceiro tecnológico de até US$ 250 milhões de dólares</w:t>
      </w:r>
      <w:r>
        <w:rPr>
          <w:spacing w:val="-3"/>
        </w:rPr>
        <w:t> </w:t>
      </w:r>
      <w:r>
        <w:rPr/>
        <w:t>americanos.</w:t>
      </w:r>
    </w:p>
    <w:p>
      <w:pPr>
        <w:pStyle w:val="BodyText"/>
        <w:spacing w:line="237" w:lineRule="auto" w:before="126"/>
        <w:ind w:left="137" w:right="110" w:firstLine="226"/>
        <w:jc w:val="both"/>
      </w:pPr>
      <w:r>
        <w:rPr/>
        <w:t>Encerramos o exercício com um lucro líquido de R$ 143,9 milhões e margem EBITDA (</w:t>
      </w:r>
      <w:r>
        <w:rPr>
          <w:rFonts w:ascii="Roboto" w:hAnsi="Roboto"/>
          <w:i/>
        </w:rPr>
        <w:t>earnings </w:t>
      </w:r>
      <w:r>
        <w:rPr>
          <w:rFonts w:ascii="Roboto" w:hAnsi="Roboto"/>
          <w:i/>
        </w:rPr>
        <w:t>before interest, taxes, depreciation and amortization </w:t>
      </w:r>
      <w:r>
        <w:rPr/>
        <w:t>ou, em português, lucros antes de juros, impostos, depreciação e amortização – LAJIDA) de 20,19%, o que demonstra a sustentabilidade do negócio. Este é o quarto ano seguido em que a Companhia apresenta lucro operacional.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488" w:val="left" w:leader="none"/>
          <w:tab w:pos="490" w:val="left" w:leader="none"/>
        </w:tabs>
        <w:spacing w:line="240" w:lineRule="auto" w:before="177" w:after="0"/>
        <w:ind w:left="489" w:right="0" w:hanging="353"/>
        <w:jc w:val="left"/>
        <w:rPr>
          <w:b w:val="0"/>
        </w:rPr>
      </w:pPr>
      <w:r>
        <w:rPr>
          <w:b w:val="0"/>
          <w:color w:val="9D534E"/>
        </w:rPr>
        <w:t>ELABORAÇÃO E </w:t>
      </w:r>
      <w:r>
        <w:rPr>
          <w:b w:val="0"/>
          <w:color w:val="9D534E"/>
          <w:spacing w:val="-3"/>
        </w:rPr>
        <w:t>APRESENTAÇÃO </w:t>
      </w:r>
      <w:r>
        <w:rPr>
          <w:b w:val="0"/>
          <w:color w:val="9D534E"/>
        </w:rPr>
        <w:t>DAS DEMONSTRAÇÕES</w:t>
      </w:r>
      <w:r>
        <w:rPr>
          <w:b w:val="0"/>
          <w:color w:val="9D534E"/>
          <w:spacing w:val="-23"/>
        </w:rPr>
        <w:t> </w:t>
      </w:r>
      <w:r>
        <w:rPr>
          <w:b w:val="0"/>
          <w:color w:val="9D534E"/>
          <w:spacing w:val="-3"/>
        </w:rPr>
        <w:t>CONTÁBEIS</w:t>
      </w:r>
    </w:p>
    <w:p>
      <w:pPr>
        <w:pStyle w:val="BodyText"/>
        <w:spacing w:before="3"/>
        <w:rPr>
          <w:rFonts w:ascii="Roboto"/>
          <w:b w:val="0"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  <w:sz w:val="22"/>
        </w:rPr>
      </w:pPr>
      <w:r>
        <w:rPr>
          <w:b w:val="0"/>
          <w:color w:val="7C7B7B"/>
          <w:sz w:val="22"/>
        </w:rPr>
        <w:t>Base de</w:t>
      </w:r>
      <w:r>
        <w:rPr>
          <w:b w:val="0"/>
          <w:color w:val="7C7B7B"/>
          <w:spacing w:val="-3"/>
          <w:sz w:val="22"/>
        </w:rPr>
        <w:t> </w:t>
      </w:r>
      <w:r>
        <w:rPr>
          <w:b w:val="0"/>
          <w:color w:val="7C7B7B"/>
          <w:sz w:val="22"/>
        </w:rPr>
        <w:t>preparação</w:t>
      </w:r>
    </w:p>
    <w:p>
      <w:pPr>
        <w:pStyle w:val="BodyText"/>
        <w:spacing w:line="247" w:lineRule="auto" w:before="171"/>
        <w:ind w:left="137" w:right="112" w:firstLine="226"/>
        <w:jc w:val="both"/>
      </w:pPr>
      <w:r>
        <w:rPr/>
        <w:t>As demonstrações contábeis estão sendo apresentadas de acordo com as práticas contábeis adotadas no Brasil, as quais abrangem a Lei das Sociedades por Ações (Lei nº 6.404, de 15 de</w:t>
      </w:r>
    </w:p>
    <w:p>
      <w:pPr>
        <w:spacing w:after="0" w:line="247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BodyText"/>
        <w:spacing w:line="252" w:lineRule="auto" w:before="87"/>
        <w:ind w:left="137" w:right="114"/>
        <w:jc w:val="both"/>
      </w:pPr>
      <w:r>
        <w:rPr/>
        <w:t>dezembro de 1976), complementadas pelos pronunciamentos, interpretações e orientações do Comitê de Pronunciamentos Contábeis – CPC, aprovados por resoluções do Conselho Federal de Contabilidade – CFC e por normas da Comissão de Valores Mobiliários – CVM.</w:t>
      </w:r>
    </w:p>
    <w:p>
      <w:pPr>
        <w:pStyle w:val="BodyText"/>
        <w:spacing w:line="252" w:lineRule="auto" w:before="139"/>
        <w:ind w:left="137" w:right="114" w:firstLine="226"/>
        <w:jc w:val="both"/>
      </w:pPr>
      <w:r>
        <w:rPr/>
        <w:t>As</w:t>
      </w:r>
      <w:r>
        <w:rPr>
          <w:spacing w:val="-12"/>
        </w:rPr>
        <w:t> </w:t>
      </w:r>
      <w:r>
        <w:rPr/>
        <w:t>informações</w:t>
      </w:r>
      <w:r>
        <w:rPr>
          <w:spacing w:val="-10"/>
        </w:rPr>
        <w:t> </w:t>
      </w:r>
      <w:r>
        <w:rPr/>
        <w:t>relevantes</w:t>
      </w:r>
      <w:r>
        <w:rPr>
          <w:spacing w:val="-12"/>
        </w:rPr>
        <w:t> </w:t>
      </w:r>
      <w:r>
        <w:rPr/>
        <w:t>próprias</w:t>
      </w:r>
      <w:r>
        <w:rPr>
          <w:spacing w:val="-11"/>
        </w:rPr>
        <w:t> </w:t>
      </w:r>
      <w:r>
        <w:rPr/>
        <w:t>das</w:t>
      </w:r>
      <w:r>
        <w:rPr>
          <w:spacing w:val="-11"/>
        </w:rPr>
        <w:t> </w:t>
      </w:r>
      <w:r>
        <w:rPr/>
        <w:t>demonstrações</w:t>
      </w:r>
      <w:r>
        <w:rPr>
          <w:spacing w:val="-11"/>
        </w:rPr>
        <w:t> </w:t>
      </w:r>
      <w:r>
        <w:rPr/>
        <w:t>contábeis,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somente</w:t>
      </w:r>
      <w:r>
        <w:rPr>
          <w:spacing w:val="-10"/>
        </w:rPr>
        <w:t> </w:t>
      </w:r>
      <w:r>
        <w:rPr/>
        <w:t>elas,</w:t>
      </w:r>
      <w:r>
        <w:rPr>
          <w:spacing w:val="-10"/>
        </w:rPr>
        <w:t> </w:t>
      </w:r>
      <w:r>
        <w:rPr/>
        <w:t>estão</w:t>
      </w:r>
      <w:r>
        <w:rPr>
          <w:spacing w:val="-11"/>
        </w:rPr>
        <w:t> </w:t>
      </w:r>
      <w:r>
        <w:rPr/>
        <w:t>sendo evidenciadas e correspondem às utilizadas pela Administração na sua</w:t>
      </w:r>
      <w:r>
        <w:rPr>
          <w:spacing w:val="-11"/>
        </w:rPr>
        <w:t> </w:t>
      </w:r>
      <w:r>
        <w:rPr/>
        <w:t>gestão.</w:t>
      </w:r>
    </w:p>
    <w:p>
      <w:pPr>
        <w:pStyle w:val="BodyText"/>
        <w:spacing w:line="252" w:lineRule="auto" w:before="140"/>
        <w:ind w:left="137" w:right="116" w:firstLine="226"/>
        <w:jc w:val="both"/>
      </w:pPr>
      <w:r>
        <w:rPr/>
        <w:t>Cabe destacar que as demonstrações contábeis foram preparadas utilizando o custo histórico como base de valor. O custo histórico geralmente é baseado no valor justo das contraprestações pagas em troca de ativos.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Moeda funcional e</w:t>
      </w:r>
      <w:r>
        <w:rPr>
          <w:b w:val="0"/>
          <w:color w:val="7C7B7B"/>
          <w:spacing w:val="-2"/>
        </w:rPr>
        <w:t> </w:t>
      </w:r>
      <w:r>
        <w:rPr>
          <w:b w:val="0"/>
          <w:color w:val="7C7B7B"/>
        </w:rPr>
        <w:t>apresentação</w:t>
      </w:r>
    </w:p>
    <w:p>
      <w:pPr>
        <w:pStyle w:val="BodyText"/>
        <w:spacing w:line="252" w:lineRule="auto" w:before="175"/>
        <w:ind w:left="137" w:right="113" w:firstLine="226"/>
        <w:jc w:val="both"/>
      </w:pPr>
      <w:r>
        <w:rPr/>
        <w:t>Os itens incluídos nas demonstrações contábeis são mensurados usando o real, moeda do principal ambiente econômico no qual a Companhia atua (moeda funcional).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Base de</w:t>
      </w:r>
      <w:r>
        <w:rPr>
          <w:b w:val="0"/>
          <w:color w:val="7C7B7B"/>
          <w:spacing w:val="-3"/>
        </w:rPr>
        <w:t> </w:t>
      </w:r>
      <w:r>
        <w:rPr>
          <w:b w:val="0"/>
          <w:color w:val="7C7B7B"/>
        </w:rPr>
        <w:t>mensuração</w:t>
      </w:r>
    </w:p>
    <w:p>
      <w:pPr>
        <w:pStyle w:val="BodyText"/>
        <w:spacing w:before="175"/>
        <w:ind w:left="364"/>
      </w:pPr>
      <w:r>
        <w:rPr/>
        <w:t>As Demonstrações Contábeis foram preparadas utilizando como base o custo histórico.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Uso de estimativas e</w:t>
      </w:r>
      <w:r>
        <w:rPr>
          <w:b w:val="0"/>
          <w:color w:val="7C7B7B"/>
          <w:spacing w:val="-4"/>
        </w:rPr>
        <w:t> </w:t>
      </w:r>
      <w:r>
        <w:rPr>
          <w:b w:val="0"/>
          <w:color w:val="7C7B7B"/>
        </w:rPr>
        <w:t>julgamentos</w:t>
      </w:r>
    </w:p>
    <w:p>
      <w:pPr>
        <w:pStyle w:val="BodyText"/>
        <w:spacing w:line="252" w:lineRule="auto" w:before="175"/>
        <w:ind w:left="137" w:right="111" w:firstLine="226"/>
        <w:jc w:val="both"/>
      </w:pPr>
      <w:r>
        <w:rPr/>
        <w:t>Na</w:t>
      </w:r>
      <w:r>
        <w:rPr>
          <w:spacing w:val="-8"/>
        </w:rPr>
        <w:t> </w:t>
      </w:r>
      <w:r>
        <w:rPr/>
        <w:t>elaboração</w:t>
      </w:r>
      <w:r>
        <w:rPr>
          <w:spacing w:val="-7"/>
        </w:rPr>
        <w:t> </w:t>
      </w:r>
      <w:r>
        <w:rPr/>
        <w:t>das</w:t>
      </w:r>
      <w:r>
        <w:rPr>
          <w:spacing w:val="-8"/>
        </w:rPr>
        <w:t> </w:t>
      </w:r>
      <w:r>
        <w:rPr/>
        <w:t>demonstrações</w:t>
      </w:r>
      <w:r>
        <w:rPr>
          <w:spacing w:val="-7"/>
        </w:rPr>
        <w:t> </w:t>
      </w:r>
      <w:r>
        <w:rPr/>
        <w:t>é</w:t>
      </w:r>
      <w:r>
        <w:rPr>
          <w:spacing w:val="-8"/>
        </w:rPr>
        <w:t> </w:t>
      </w:r>
      <w:r>
        <w:rPr/>
        <w:t>necessário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Administração</w:t>
      </w:r>
      <w:r>
        <w:rPr>
          <w:spacing w:val="-8"/>
        </w:rPr>
        <w:t> </w:t>
      </w:r>
      <w:r>
        <w:rPr/>
        <w:t>faça</w:t>
      </w:r>
      <w:r>
        <w:rPr>
          <w:spacing w:val="-7"/>
        </w:rPr>
        <w:t> </w:t>
      </w:r>
      <w:r>
        <w:rPr/>
        <w:t>uso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estimativas</w:t>
      </w:r>
      <w:r>
        <w:rPr>
          <w:spacing w:val="-8"/>
        </w:rPr>
        <w:t> </w:t>
      </w:r>
      <w:r>
        <w:rPr/>
        <w:t>e adote premissas para a contabilização de certos ativos, passivos e outras transações, entre elas: a constituição de provisões necessárias para riscos tributários, cíveis e trabalhistas; a vida útil do ativo imobilizado; as perdas relacionadas a “contas a receber”; a recuperação do valor de ativos, incluindo</w:t>
      </w:r>
      <w:r>
        <w:rPr>
          <w:spacing w:val="-20"/>
        </w:rPr>
        <w:t> </w:t>
      </w:r>
      <w:r>
        <w:rPr/>
        <w:t>intangíveis;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/>
        <w:t>elaboração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projeções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realização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imposto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renda</w:t>
      </w:r>
      <w:r>
        <w:rPr>
          <w:spacing w:val="-20"/>
        </w:rPr>
        <w:t> </w:t>
      </w:r>
      <w:r>
        <w:rPr/>
        <w:t>diferido,</w:t>
      </w:r>
      <w:r>
        <w:rPr>
          <w:spacing w:val="-19"/>
        </w:rPr>
        <w:t> </w:t>
      </w:r>
      <w:r>
        <w:rPr/>
        <w:t>as quais,</w:t>
      </w:r>
      <w:r>
        <w:rPr>
          <w:spacing w:val="-26"/>
        </w:rPr>
        <w:t> </w:t>
      </w:r>
      <w:r>
        <w:rPr/>
        <w:t>apesar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refletirem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/>
        <w:t>julgamento</w:t>
      </w:r>
      <w:r>
        <w:rPr>
          <w:spacing w:val="-25"/>
        </w:rPr>
        <w:t> </w:t>
      </w:r>
      <w:r>
        <w:rPr/>
        <w:t>da</w:t>
      </w:r>
      <w:r>
        <w:rPr>
          <w:spacing w:val="-26"/>
        </w:rPr>
        <w:t> </w:t>
      </w:r>
      <w:r>
        <w:rPr/>
        <w:t>melhor</w:t>
      </w:r>
      <w:r>
        <w:rPr>
          <w:spacing w:val="-25"/>
        </w:rPr>
        <w:t> </w:t>
      </w:r>
      <w:r>
        <w:rPr/>
        <w:t>estimativa</w:t>
      </w:r>
      <w:r>
        <w:rPr>
          <w:spacing w:val="-26"/>
        </w:rPr>
        <w:t> </w:t>
      </w:r>
      <w:r>
        <w:rPr/>
        <w:t>possível</w:t>
      </w:r>
      <w:r>
        <w:rPr>
          <w:spacing w:val="-25"/>
        </w:rPr>
        <w:t> </w:t>
      </w:r>
      <w:r>
        <w:rPr/>
        <w:t>por</w:t>
      </w:r>
      <w:r>
        <w:rPr>
          <w:spacing w:val="-26"/>
        </w:rPr>
        <w:t> </w:t>
      </w:r>
      <w:r>
        <w:rPr/>
        <w:t>parte</w:t>
      </w:r>
      <w:r>
        <w:rPr>
          <w:spacing w:val="-25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Administração</w:t>
      </w:r>
      <w:r>
        <w:rPr>
          <w:spacing w:val="-25"/>
        </w:rPr>
        <w:t> </w:t>
      </w:r>
      <w:r>
        <w:rPr/>
        <w:t>da Companhia,</w:t>
      </w:r>
      <w:r>
        <w:rPr>
          <w:spacing w:val="-22"/>
        </w:rPr>
        <w:t> </w:t>
      </w:r>
      <w:r>
        <w:rPr/>
        <w:t>podem,</w:t>
      </w:r>
      <w:r>
        <w:rPr>
          <w:spacing w:val="-21"/>
        </w:rPr>
        <w:t> </w:t>
      </w:r>
      <w:r>
        <w:rPr/>
        <w:t>eventualmente,</w:t>
      </w:r>
      <w:r>
        <w:rPr>
          <w:spacing w:val="-22"/>
        </w:rPr>
        <w:t> </w:t>
      </w:r>
      <w:r>
        <w:rPr/>
        <w:t>apresentar</w:t>
      </w:r>
      <w:r>
        <w:rPr>
          <w:spacing w:val="-21"/>
        </w:rPr>
        <w:t> </w:t>
      </w:r>
      <w:r>
        <w:rPr/>
        <w:t>variações</w:t>
      </w:r>
      <w:r>
        <w:rPr>
          <w:spacing w:val="-21"/>
        </w:rPr>
        <w:t> </w:t>
      </w:r>
      <w:r>
        <w:rPr/>
        <w:t>em</w:t>
      </w:r>
      <w:r>
        <w:rPr>
          <w:spacing w:val="-22"/>
        </w:rPr>
        <w:t> </w:t>
      </w:r>
      <w:r>
        <w:rPr/>
        <w:t>relação</w:t>
      </w:r>
      <w:r>
        <w:rPr>
          <w:spacing w:val="-21"/>
        </w:rPr>
        <w:t> </w:t>
      </w:r>
      <w:r>
        <w:rPr/>
        <w:t>aos</w:t>
      </w:r>
      <w:r>
        <w:rPr>
          <w:spacing w:val="-22"/>
        </w:rPr>
        <w:t> </w:t>
      </w:r>
      <w:r>
        <w:rPr/>
        <w:t>dados</w:t>
      </w:r>
      <w:r>
        <w:rPr>
          <w:spacing w:val="-21"/>
        </w:rPr>
        <w:t> </w:t>
      </w:r>
      <w:r>
        <w:rPr/>
        <w:t>e</w:t>
      </w:r>
      <w:r>
        <w:rPr>
          <w:spacing w:val="-21"/>
        </w:rPr>
        <w:t> </w:t>
      </w:r>
      <w:r>
        <w:rPr/>
        <w:t>aos</w:t>
      </w:r>
      <w:r>
        <w:rPr>
          <w:spacing w:val="-22"/>
        </w:rPr>
        <w:t> </w:t>
      </w:r>
      <w:r>
        <w:rPr/>
        <w:t>valores</w:t>
      </w:r>
      <w:r>
        <w:rPr>
          <w:spacing w:val="-21"/>
        </w:rPr>
        <w:t> </w:t>
      </w:r>
      <w:r>
        <w:rPr/>
        <w:t>reais.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488" w:val="left" w:leader="none"/>
          <w:tab w:pos="490" w:val="left" w:leader="none"/>
        </w:tabs>
        <w:spacing w:line="240" w:lineRule="auto" w:before="161" w:after="0"/>
        <w:ind w:left="489" w:right="0" w:hanging="353"/>
        <w:jc w:val="left"/>
        <w:rPr>
          <w:b w:val="0"/>
        </w:rPr>
      </w:pPr>
      <w:r>
        <w:rPr>
          <w:b w:val="0"/>
          <w:color w:val="9D534E"/>
          <w:spacing w:val="-3"/>
        </w:rPr>
        <w:t>PRINCIPAIS </w:t>
      </w:r>
      <w:r>
        <w:rPr>
          <w:b w:val="0"/>
          <w:color w:val="9D534E"/>
        </w:rPr>
        <w:t>POLÍTICAS </w:t>
      </w:r>
      <w:r>
        <w:rPr>
          <w:b w:val="0"/>
          <w:color w:val="9D534E"/>
          <w:spacing w:val="-3"/>
        </w:rPr>
        <w:t>CONTÁBEIS</w:t>
      </w:r>
    </w:p>
    <w:p>
      <w:pPr>
        <w:pStyle w:val="BodyText"/>
        <w:spacing w:before="10"/>
        <w:rPr>
          <w:rFonts w:ascii="Roboto"/>
          <w:b w:val="0"/>
        </w:rPr>
      </w:pPr>
    </w:p>
    <w:p>
      <w:pPr>
        <w:pStyle w:val="BodyText"/>
        <w:spacing w:before="1"/>
        <w:ind w:left="364"/>
      </w:pPr>
      <w:r>
        <w:rPr/>
        <w:t>As principais políticas contábeis adotadas pela Companhia estão descritas a seguir: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Caixa e Equivalente de</w:t>
      </w:r>
      <w:r>
        <w:rPr>
          <w:b w:val="0"/>
          <w:color w:val="7C7B7B"/>
          <w:spacing w:val="-5"/>
        </w:rPr>
        <w:t> </w:t>
      </w:r>
      <w:r>
        <w:rPr>
          <w:b w:val="0"/>
          <w:color w:val="7C7B7B"/>
        </w:rPr>
        <w:t>Caixa</w:t>
      </w:r>
    </w:p>
    <w:p>
      <w:pPr>
        <w:pStyle w:val="BodyText"/>
        <w:spacing w:line="252" w:lineRule="auto" w:before="175"/>
        <w:ind w:left="137" w:right="111" w:firstLine="226"/>
        <w:jc w:val="both"/>
      </w:pPr>
      <w:r>
        <w:rPr/>
        <w:t>Compreendem saldos de caixa, bancos e investimentos financeiros com realização imediata. Estão sujeitos a risco insignificante de alteração no valor justo, sendo utilizados na gestão das obrigações de curto prazo.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Instrumentos</w:t>
      </w:r>
      <w:r>
        <w:rPr>
          <w:b w:val="0"/>
          <w:color w:val="7C7B7B"/>
          <w:spacing w:val="-2"/>
        </w:rPr>
        <w:t> </w:t>
      </w:r>
      <w:r>
        <w:rPr>
          <w:b w:val="0"/>
          <w:color w:val="7C7B7B"/>
        </w:rPr>
        <w:t>Financeiros</w:t>
      </w:r>
    </w:p>
    <w:p>
      <w:pPr>
        <w:pStyle w:val="BodyText"/>
        <w:spacing w:line="247" w:lineRule="auto" w:before="175"/>
        <w:ind w:left="137" w:right="117" w:firstLine="226"/>
        <w:jc w:val="both"/>
      </w:pPr>
      <w:r>
        <w:rPr/>
        <w:t>O CPC 48 – </w:t>
      </w:r>
      <w:r>
        <w:rPr>
          <w:spacing w:val="-3"/>
        </w:rPr>
        <w:t>Instrumentos Financeiros introduziu novas </w:t>
      </w:r>
      <w:r>
        <w:rPr/>
        <w:t>exigências </w:t>
      </w:r>
      <w:r>
        <w:rPr>
          <w:spacing w:val="-4"/>
        </w:rPr>
        <w:t>para </w:t>
      </w:r>
      <w:r>
        <w:rPr/>
        <w:t>a </w:t>
      </w:r>
      <w:r>
        <w:rPr>
          <w:spacing w:val="-3"/>
        </w:rPr>
        <w:t>classificação </w:t>
      </w:r>
      <w:r>
        <w:rPr/>
        <w:t>de </w:t>
      </w:r>
      <w:r>
        <w:rPr>
          <w:spacing w:val="-4"/>
        </w:rPr>
        <w:t>ativos </w:t>
      </w:r>
      <w:r>
        <w:rPr/>
        <w:t>financeiros, que depende do modelo de negócios da entidade e das </w:t>
      </w:r>
      <w:r>
        <w:rPr>
          <w:spacing w:val="-3"/>
        </w:rPr>
        <w:t>características contratuais </w:t>
      </w:r>
      <w:r>
        <w:rPr/>
        <w:t>do </w:t>
      </w:r>
      <w:r>
        <w:rPr>
          <w:spacing w:val="-3"/>
        </w:rPr>
        <w:t>fluxo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caixa</w:t>
      </w:r>
      <w:r>
        <w:rPr>
          <w:spacing w:val="-13"/>
        </w:rPr>
        <w:t> </w:t>
      </w:r>
      <w:r>
        <w:rPr/>
        <w:t>dos</w:t>
      </w:r>
      <w:r>
        <w:rPr>
          <w:spacing w:val="-13"/>
        </w:rPr>
        <w:t> </w:t>
      </w:r>
      <w:r>
        <w:rPr>
          <w:spacing w:val="-3"/>
        </w:rPr>
        <w:t>instrumentos</w:t>
      </w:r>
      <w:r>
        <w:rPr>
          <w:spacing w:val="-14"/>
        </w:rPr>
        <w:t> </w:t>
      </w:r>
      <w:r>
        <w:rPr>
          <w:spacing w:val="-3"/>
        </w:rPr>
        <w:t>financeiros;</w:t>
      </w:r>
      <w:r>
        <w:rPr>
          <w:spacing w:val="-13"/>
        </w:rPr>
        <w:t> </w:t>
      </w:r>
      <w:r>
        <w:rPr>
          <w:spacing w:val="-3"/>
        </w:rPr>
        <w:t>define</w:t>
      </w:r>
      <w:r>
        <w:rPr>
          <w:spacing w:val="-13"/>
        </w:rPr>
        <w:t> </w:t>
      </w:r>
      <w:r>
        <w:rPr/>
        <w:t>um</w:t>
      </w:r>
      <w:r>
        <w:rPr>
          <w:spacing w:val="-13"/>
        </w:rPr>
        <w:t> </w:t>
      </w:r>
      <w:r>
        <w:rPr>
          <w:spacing w:val="-3"/>
        </w:rPr>
        <w:t>novo</w:t>
      </w:r>
      <w:r>
        <w:rPr>
          <w:spacing w:val="-14"/>
        </w:rPr>
        <w:t> </w:t>
      </w:r>
      <w:r>
        <w:rPr>
          <w:spacing w:val="-3"/>
        </w:rPr>
        <w:t>modelo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contabilização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perdas</w:t>
      </w:r>
      <w:r>
        <w:rPr>
          <w:spacing w:val="-14"/>
        </w:rPr>
        <w:t> </w:t>
      </w:r>
      <w:r>
        <w:rPr>
          <w:spacing w:val="-3"/>
        </w:rPr>
        <w:t>por redução</w:t>
      </w:r>
      <w:r>
        <w:rPr>
          <w:spacing w:val="-17"/>
        </w:rPr>
        <w:t> </w:t>
      </w:r>
      <w:r>
        <w:rPr/>
        <w:t>no</w:t>
      </w:r>
      <w:r>
        <w:rPr>
          <w:spacing w:val="-16"/>
        </w:rPr>
        <w:t> </w:t>
      </w:r>
      <w:r>
        <w:rPr>
          <w:spacing w:val="-3"/>
        </w:rPr>
        <w:t>valor</w:t>
      </w:r>
      <w:r>
        <w:rPr>
          <w:spacing w:val="-16"/>
        </w:rPr>
        <w:t> </w:t>
      </w:r>
      <w:r>
        <w:rPr>
          <w:spacing w:val="-4"/>
        </w:rPr>
        <w:t>recuperável,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4"/>
        </w:rPr>
        <w:t>exigirá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>
          <w:spacing w:val="-4"/>
        </w:rPr>
        <w:t>reconhecimento</w:t>
      </w:r>
      <w:r>
        <w:rPr>
          <w:spacing w:val="-16"/>
        </w:rPr>
        <w:t> </w:t>
      </w:r>
      <w:r>
        <w:rPr>
          <w:spacing w:val="-3"/>
        </w:rPr>
        <w:t>mais</w:t>
      </w:r>
      <w:r>
        <w:rPr>
          <w:spacing w:val="-17"/>
        </w:rPr>
        <w:t> </w:t>
      </w:r>
      <w:r>
        <w:rPr>
          <w:spacing w:val="-3"/>
        </w:rPr>
        <w:t>efetivo;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>
          <w:spacing w:val="-3"/>
        </w:rPr>
        <w:t>introduz</w:t>
      </w:r>
      <w:r>
        <w:rPr>
          <w:spacing w:val="-16"/>
        </w:rPr>
        <w:t> </w:t>
      </w:r>
      <w:r>
        <w:rPr/>
        <w:t>um</w:t>
      </w:r>
      <w:r>
        <w:rPr>
          <w:spacing w:val="-17"/>
        </w:rPr>
        <w:t> </w:t>
      </w:r>
      <w:r>
        <w:rPr>
          <w:spacing w:val="-3"/>
        </w:rPr>
        <w:t>novo</w:t>
      </w:r>
      <w:r>
        <w:rPr>
          <w:spacing w:val="-16"/>
        </w:rPr>
        <w:t> </w:t>
      </w:r>
      <w:r>
        <w:rPr>
          <w:spacing w:val="-4"/>
        </w:rPr>
        <w:t>padrão </w:t>
      </w:r>
      <w:r>
        <w:rPr/>
        <w:t>de </w:t>
      </w:r>
      <w:r>
        <w:rPr>
          <w:rFonts w:ascii="Roboto" w:hAnsi="Roboto"/>
          <w:i/>
          <w:spacing w:val="-3"/>
        </w:rPr>
        <w:t>hedge accounting </w:t>
      </w:r>
      <w:r>
        <w:rPr/>
        <w:t>e </w:t>
      </w:r>
      <w:r>
        <w:rPr>
          <w:rFonts w:ascii="Roboto" w:hAnsi="Roboto"/>
          <w:i/>
          <w:spacing w:val="-3"/>
        </w:rPr>
        <w:t>impairment test</w:t>
      </w:r>
      <w:r>
        <w:rPr>
          <w:spacing w:val="-3"/>
        </w:rPr>
        <w:t>, </w:t>
      </w:r>
      <w:r>
        <w:rPr/>
        <w:t>com </w:t>
      </w:r>
      <w:r>
        <w:rPr>
          <w:spacing w:val="-3"/>
        </w:rPr>
        <w:t>maior divulgação sobre </w:t>
      </w:r>
      <w:r>
        <w:rPr/>
        <w:t>a </w:t>
      </w:r>
      <w:r>
        <w:rPr>
          <w:spacing w:val="-3"/>
        </w:rPr>
        <w:t>atividade </w:t>
      </w:r>
      <w:r>
        <w:rPr/>
        <w:t>de </w:t>
      </w:r>
      <w:r>
        <w:rPr>
          <w:spacing w:val="-3"/>
        </w:rPr>
        <w:t>gestão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risco.</w:t>
      </w:r>
    </w:p>
    <w:p>
      <w:pPr>
        <w:pStyle w:val="BodyText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Clientes</w:t>
      </w:r>
    </w:p>
    <w:p>
      <w:pPr>
        <w:pStyle w:val="BodyText"/>
        <w:spacing w:line="232" w:lineRule="auto" w:before="180"/>
        <w:ind w:left="137" w:right="116" w:firstLine="226"/>
        <w:jc w:val="both"/>
      </w:pPr>
      <w:r>
        <w:rPr/>
        <w:t>São</w:t>
      </w:r>
      <w:r>
        <w:rPr>
          <w:spacing w:val="-26"/>
        </w:rPr>
        <w:t> </w:t>
      </w:r>
      <w:r>
        <w:rPr>
          <w:spacing w:val="-3"/>
        </w:rPr>
        <w:t>contabilizados</w:t>
      </w:r>
      <w:r>
        <w:rPr>
          <w:spacing w:val="-26"/>
        </w:rPr>
        <w:t> </w:t>
      </w:r>
      <w:r>
        <w:rPr>
          <w:spacing w:val="-3"/>
        </w:rPr>
        <w:t>inicialmente</w:t>
      </w:r>
      <w:r>
        <w:rPr>
          <w:spacing w:val="-25"/>
        </w:rPr>
        <w:t> </w:t>
      </w:r>
      <w:r>
        <w:rPr>
          <w:spacing w:val="-3"/>
        </w:rPr>
        <w:t>pelo</w:t>
      </w:r>
      <w:r>
        <w:rPr>
          <w:spacing w:val="-26"/>
        </w:rPr>
        <w:t> </w:t>
      </w:r>
      <w:r>
        <w:rPr>
          <w:spacing w:val="-3"/>
        </w:rPr>
        <w:t>valor</w:t>
      </w:r>
      <w:r>
        <w:rPr>
          <w:spacing w:val="-25"/>
        </w:rPr>
        <w:t> </w:t>
      </w:r>
      <w:r>
        <w:rPr>
          <w:spacing w:val="-3"/>
        </w:rPr>
        <w:t>justo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>
          <w:spacing w:val="-4"/>
        </w:rPr>
        <w:t>contraprestação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ser</w:t>
      </w:r>
      <w:r>
        <w:rPr>
          <w:spacing w:val="-25"/>
        </w:rPr>
        <w:t> </w:t>
      </w:r>
      <w:r>
        <w:rPr>
          <w:spacing w:val="-3"/>
        </w:rPr>
        <w:t>recebida,</w:t>
      </w:r>
      <w:r>
        <w:rPr>
          <w:spacing w:val="-26"/>
        </w:rPr>
        <w:t> </w:t>
      </w:r>
      <w:r>
        <w:rPr>
          <w:spacing w:val="-3"/>
        </w:rPr>
        <w:t>sendo</w:t>
      </w:r>
      <w:r>
        <w:rPr>
          <w:spacing w:val="-25"/>
        </w:rPr>
        <w:t> </w:t>
      </w:r>
      <w:r>
        <w:rPr>
          <w:spacing w:val="-3"/>
        </w:rPr>
        <w:t>deduzidas </w:t>
      </w:r>
      <w:r>
        <w:rPr/>
        <w:t>as perdas por redução ao valor recuperável de ativos </w:t>
      </w:r>
      <w:r>
        <w:rPr>
          <w:rFonts w:ascii="Roboto" w:hAnsi="Roboto"/>
          <w:i/>
        </w:rPr>
        <w:t>impairment</w:t>
      </w:r>
      <w:r>
        <w:rPr/>
        <w:t>, se</w:t>
      </w:r>
      <w:r>
        <w:rPr>
          <w:spacing w:val="-5"/>
        </w:rPr>
        <w:t> </w:t>
      </w:r>
      <w:r>
        <w:rPr>
          <w:spacing w:val="-3"/>
        </w:rPr>
        <w:t>houver.</w:t>
      </w:r>
    </w:p>
    <w:p>
      <w:pPr>
        <w:pStyle w:val="BodyText"/>
        <w:spacing w:line="252" w:lineRule="auto" w:before="151"/>
        <w:ind w:left="137" w:right="116" w:firstLine="226"/>
        <w:jc w:val="both"/>
      </w:pPr>
      <w:r>
        <w:rPr/>
        <w:t>A</w:t>
      </w:r>
      <w:r>
        <w:rPr>
          <w:spacing w:val="-19"/>
        </w:rPr>
        <w:t> </w:t>
      </w:r>
      <w:r>
        <w:rPr/>
        <w:t>Hemobrás</w:t>
      </w:r>
      <w:r>
        <w:rPr>
          <w:spacing w:val="-18"/>
        </w:rPr>
        <w:t> </w:t>
      </w:r>
      <w:r>
        <w:rPr/>
        <w:t>não</w:t>
      </w:r>
      <w:r>
        <w:rPr>
          <w:spacing w:val="-18"/>
        </w:rPr>
        <w:t> </w:t>
      </w:r>
      <w:r>
        <w:rPr/>
        <w:t>reconheceu,</w:t>
      </w:r>
      <w:r>
        <w:rPr>
          <w:spacing w:val="-18"/>
        </w:rPr>
        <w:t> </w:t>
      </w:r>
      <w:r>
        <w:rPr/>
        <w:t>em</w:t>
      </w:r>
      <w:r>
        <w:rPr>
          <w:spacing w:val="-18"/>
        </w:rPr>
        <w:t> </w:t>
      </w:r>
      <w:r>
        <w:rPr/>
        <w:t>2019,</w:t>
      </w:r>
      <w:r>
        <w:rPr>
          <w:spacing w:val="-18"/>
        </w:rPr>
        <w:t> </w:t>
      </w:r>
      <w:r>
        <w:rPr/>
        <w:t>as</w:t>
      </w:r>
      <w:r>
        <w:rPr>
          <w:spacing w:val="-19"/>
        </w:rPr>
        <w:t> </w:t>
      </w:r>
      <w:r>
        <w:rPr/>
        <w:t>perdas</w:t>
      </w:r>
      <w:r>
        <w:rPr>
          <w:spacing w:val="-18"/>
        </w:rPr>
        <w:t> </w:t>
      </w:r>
      <w:r>
        <w:rPr/>
        <w:t>em</w:t>
      </w:r>
      <w:r>
        <w:rPr>
          <w:spacing w:val="-18"/>
        </w:rPr>
        <w:t> </w:t>
      </w:r>
      <w:r>
        <w:rPr/>
        <w:t>créditos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liquidação</w:t>
      </w:r>
      <w:r>
        <w:rPr>
          <w:spacing w:val="-18"/>
        </w:rPr>
        <w:t> </w:t>
      </w:r>
      <w:r>
        <w:rPr/>
        <w:t>duvidosa,</w:t>
      </w:r>
      <w:r>
        <w:rPr>
          <w:spacing w:val="-18"/>
        </w:rPr>
        <w:t> </w:t>
      </w:r>
      <w:r>
        <w:rPr/>
        <w:t>possui</w:t>
      </w:r>
      <w:r>
        <w:rPr>
          <w:spacing w:val="-19"/>
        </w:rPr>
        <w:t> </w:t>
      </w:r>
      <w:r>
        <w:rPr/>
        <w:t>um único</w:t>
      </w:r>
      <w:r>
        <w:rPr>
          <w:spacing w:val="-18"/>
        </w:rPr>
        <w:t> </w:t>
      </w:r>
      <w:r>
        <w:rPr/>
        <w:t>cliente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é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Ministério</w:t>
      </w:r>
      <w:r>
        <w:rPr>
          <w:spacing w:val="-18"/>
        </w:rPr>
        <w:t> </w:t>
      </w:r>
      <w:r>
        <w:rPr/>
        <w:t>da</w:t>
      </w:r>
      <w:r>
        <w:rPr>
          <w:spacing w:val="-17"/>
        </w:rPr>
        <w:t> </w:t>
      </w:r>
      <w:r>
        <w:rPr/>
        <w:t>Saúde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mesmo</w:t>
      </w:r>
      <w:r>
        <w:rPr>
          <w:spacing w:val="-18"/>
        </w:rPr>
        <w:t> </w:t>
      </w:r>
      <w:r>
        <w:rPr/>
        <w:t>pagou</w:t>
      </w:r>
      <w:r>
        <w:rPr>
          <w:spacing w:val="-18"/>
        </w:rPr>
        <w:t> </w:t>
      </w:r>
      <w:r>
        <w:rPr/>
        <w:t>todos</w:t>
      </w:r>
      <w:r>
        <w:rPr>
          <w:spacing w:val="-17"/>
        </w:rPr>
        <w:t> </w:t>
      </w:r>
      <w:r>
        <w:rPr/>
        <w:t>os</w:t>
      </w:r>
      <w:r>
        <w:rPr>
          <w:spacing w:val="-18"/>
        </w:rPr>
        <w:t> </w:t>
      </w:r>
      <w:r>
        <w:rPr/>
        <w:t>títulos</w:t>
      </w:r>
      <w:r>
        <w:rPr>
          <w:spacing w:val="-17"/>
        </w:rPr>
        <w:t> </w:t>
      </w:r>
      <w:r>
        <w:rPr/>
        <w:t>que</w:t>
      </w:r>
      <w:r>
        <w:rPr>
          <w:spacing w:val="-19"/>
        </w:rPr>
        <w:t> </w:t>
      </w:r>
      <w:r>
        <w:rPr/>
        <w:t>estavam</w:t>
      </w:r>
      <w:r>
        <w:rPr>
          <w:spacing w:val="-17"/>
        </w:rPr>
        <w:t> </w:t>
      </w:r>
      <w:r>
        <w:rPr/>
        <w:t>em</w:t>
      </w:r>
      <w:r>
        <w:rPr>
          <w:spacing w:val="-18"/>
        </w:rPr>
        <w:t> </w:t>
      </w:r>
      <w:r>
        <w:rPr/>
        <w:t>aberto.</w:t>
      </w:r>
    </w:p>
    <w:p>
      <w:pPr>
        <w:spacing w:after="0" w:line="252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63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Perdas Estimadas em Créditos de Liquidação Duvidosa –</w:t>
      </w:r>
      <w:r>
        <w:rPr>
          <w:b w:val="0"/>
          <w:color w:val="7C7B7B"/>
          <w:spacing w:val="-7"/>
        </w:rPr>
        <w:t> </w:t>
      </w:r>
      <w:r>
        <w:rPr>
          <w:b w:val="0"/>
          <w:color w:val="7C7B7B"/>
        </w:rPr>
        <w:t>PECLD</w:t>
      </w:r>
    </w:p>
    <w:p>
      <w:pPr>
        <w:pStyle w:val="BodyText"/>
        <w:spacing w:before="173"/>
        <w:ind w:right="122"/>
        <w:jc w:val="right"/>
      </w:pPr>
      <w:r>
        <w:rPr/>
        <w:t>São</w:t>
      </w:r>
      <w:r>
        <w:rPr>
          <w:spacing w:val="-14"/>
        </w:rPr>
        <w:t> </w:t>
      </w:r>
      <w:r>
        <w:rPr/>
        <w:t>constituídas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acordo</w:t>
      </w:r>
      <w:r>
        <w:rPr>
          <w:spacing w:val="-14"/>
        </w:rPr>
        <w:t> </w:t>
      </w:r>
      <w:r>
        <w:rPr/>
        <w:t>com</w:t>
      </w:r>
      <w:r>
        <w:rPr>
          <w:spacing w:val="-13"/>
        </w:rPr>
        <w:t> </w:t>
      </w:r>
      <w:r>
        <w:rPr/>
        <w:t>os</w:t>
      </w:r>
      <w:r>
        <w:rPr>
          <w:spacing w:val="-14"/>
        </w:rPr>
        <w:t> </w:t>
      </w:r>
      <w:r>
        <w:rPr/>
        <w:t>procedimentos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critérios</w:t>
      </w:r>
      <w:r>
        <w:rPr>
          <w:spacing w:val="-13"/>
        </w:rPr>
        <w:t> </w:t>
      </w:r>
      <w:r>
        <w:rPr/>
        <w:t>definidos</w:t>
      </w:r>
      <w:r>
        <w:rPr>
          <w:spacing w:val="-14"/>
        </w:rPr>
        <w:t> </w:t>
      </w:r>
      <w:r>
        <w:rPr/>
        <w:t>pela</w:t>
      </w:r>
      <w:r>
        <w:rPr>
          <w:spacing w:val="-14"/>
        </w:rPr>
        <w:t> </w:t>
      </w:r>
      <w:r>
        <w:rPr/>
        <w:t>Administração,</w:t>
      </w:r>
      <w:r>
        <w:rPr>
          <w:spacing w:val="-13"/>
        </w:rPr>
        <w:t> </w:t>
      </w:r>
      <w:r>
        <w:rPr/>
        <w:t>que</w:t>
      </w:r>
    </w:p>
    <w:p>
      <w:pPr>
        <w:pStyle w:val="BodyText"/>
        <w:spacing w:before="9"/>
        <w:ind w:right="114"/>
        <w:jc w:val="right"/>
      </w:pPr>
      <w:r>
        <w:rPr/>
        <w:t>incluem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análise</w:t>
      </w:r>
      <w:r>
        <w:rPr>
          <w:spacing w:val="-3"/>
        </w:rPr>
        <w:t> </w:t>
      </w:r>
      <w:r>
        <w:rPr/>
        <w:t>criteriosa</w:t>
      </w:r>
      <w:r>
        <w:rPr>
          <w:spacing w:val="-3"/>
        </w:rPr>
        <w:t> </w:t>
      </w:r>
      <w:r>
        <w:rPr/>
        <w:t>das</w:t>
      </w:r>
      <w:r>
        <w:rPr>
          <w:spacing w:val="-4"/>
        </w:rPr>
        <w:t> </w:t>
      </w:r>
      <w:r>
        <w:rPr/>
        <w:t>faturas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receber</w:t>
      </w:r>
      <w:r>
        <w:rPr>
          <w:spacing w:val="-3"/>
        </w:rPr>
        <w:t> </w:t>
      </w:r>
      <w:r>
        <w:rPr/>
        <w:t>vencidas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incertas</w:t>
      </w:r>
      <w:r>
        <w:rPr>
          <w:spacing w:val="-3"/>
        </w:rPr>
        <w:t> </w:t>
      </w:r>
      <w:r>
        <w:rPr/>
        <w:t>quanto</w:t>
      </w:r>
      <w:r>
        <w:rPr>
          <w:spacing w:val="-3"/>
        </w:rPr>
        <w:t> </w:t>
      </w:r>
      <w:r>
        <w:rPr/>
        <w:t>ao</w:t>
      </w:r>
      <w:r>
        <w:rPr>
          <w:spacing w:val="-3"/>
        </w:rPr>
        <w:t> </w:t>
      </w:r>
      <w:r>
        <w:rPr/>
        <w:t>seu</w:t>
      </w:r>
      <w:r>
        <w:rPr>
          <w:spacing w:val="-3"/>
        </w:rPr>
        <w:t> </w:t>
      </w:r>
      <w:r>
        <w:rPr/>
        <w:t>recebimento.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Estoque</w:t>
      </w:r>
    </w:p>
    <w:p>
      <w:pPr>
        <w:pStyle w:val="BodyText"/>
        <w:spacing w:line="249" w:lineRule="auto" w:before="172"/>
        <w:ind w:left="137" w:right="115" w:firstLine="226"/>
        <w:jc w:val="both"/>
      </w:pPr>
      <w:r>
        <w:rPr/>
        <w:t>Os</w:t>
      </w:r>
      <w:r>
        <w:rPr>
          <w:spacing w:val="-26"/>
        </w:rPr>
        <w:t> </w:t>
      </w:r>
      <w:r>
        <w:rPr/>
        <w:t>insumos,</w:t>
      </w:r>
      <w:r>
        <w:rPr>
          <w:spacing w:val="-25"/>
        </w:rPr>
        <w:t> </w:t>
      </w:r>
      <w:r>
        <w:rPr/>
        <w:t>as</w:t>
      </w:r>
      <w:r>
        <w:rPr>
          <w:spacing w:val="-25"/>
        </w:rPr>
        <w:t> </w:t>
      </w:r>
      <w:r>
        <w:rPr/>
        <w:t>matérias-primas</w:t>
      </w:r>
      <w:r>
        <w:rPr>
          <w:spacing w:val="-26"/>
        </w:rPr>
        <w:t> </w:t>
      </w:r>
      <w:r>
        <w:rPr/>
        <w:t>e</w:t>
      </w:r>
      <w:r>
        <w:rPr>
          <w:spacing w:val="-25"/>
        </w:rPr>
        <w:t> </w:t>
      </w:r>
      <w:r>
        <w:rPr/>
        <w:t>os</w:t>
      </w:r>
      <w:r>
        <w:rPr>
          <w:spacing w:val="-25"/>
        </w:rPr>
        <w:t> </w:t>
      </w:r>
      <w:r>
        <w:rPr/>
        <w:t>medicamentos</w:t>
      </w:r>
      <w:r>
        <w:rPr>
          <w:spacing w:val="-25"/>
        </w:rPr>
        <w:t> </w:t>
      </w:r>
      <w:r>
        <w:rPr/>
        <w:t>estão</w:t>
      </w:r>
      <w:r>
        <w:rPr>
          <w:spacing w:val="-26"/>
        </w:rPr>
        <w:t> </w:t>
      </w:r>
      <w:r>
        <w:rPr/>
        <w:t>registrados</w:t>
      </w:r>
      <w:r>
        <w:rPr>
          <w:spacing w:val="-25"/>
        </w:rPr>
        <w:t> </w:t>
      </w:r>
      <w:r>
        <w:rPr/>
        <w:t>ao</w:t>
      </w:r>
      <w:r>
        <w:rPr>
          <w:spacing w:val="-25"/>
        </w:rPr>
        <w:t> </w:t>
      </w:r>
      <w:r>
        <w:rPr/>
        <w:t>custo</w:t>
      </w:r>
      <w:r>
        <w:rPr>
          <w:spacing w:val="-25"/>
        </w:rPr>
        <w:t> </w:t>
      </w:r>
      <w:r>
        <w:rPr/>
        <w:t>médio</w:t>
      </w:r>
      <w:r>
        <w:rPr>
          <w:spacing w:val="-26"/>
        </w:rPr>
        <w:t> </w:t>
      </w:r>
      <w:r>
        <w:rPr/>
        <w:t>ponderado de aquisição, que não excede o valor de mercado. Os medicamentos são adquiridos em moeda corrente</w:t>
      </w:r>
      <w:r>
        <w:rPr>
          <w:spacing w:val="-1"/>
        </w:rPr>
        <w:t> </w:t>
      </w:r>
      <w:r>
        <w:rPr/>
        <w:t>(Real).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Imobilizado</w:t>
      </w:r>
    </w:p>
    <w:p>
      <w:pPr>
        <w:pStyle w:val="BodyText"/>
        <w:spacing w:line="244" w:lineRule="auto" w:before="173"/>
        <w:ind w:left="137" w:right="110" w:firstLine="226"/>
        <w:jc w:val="both"/>
      </w:pPr>
      <w:r>
        <w:rPr/>
        <w:t>O CPC 27 – Imobilizado é registrado pelo custo de aquisição, formação e construção, </w:t>
      </w:r>
      <w:r>
        <w:rPr>
          <w:spacing w:val="2"/>
        </w:rPr>
        <w:t>que </w:t>
      </w:r>
      <w:r>
        <w:rPr/>
        <w:t>compreende também os custos diretamente atribuíveis para colocar o ativo em condições de operação,</w:t>
      </w:r>
      <w:r>
        <w:rPr>
          <w:spacing w:val="-9"/>
        </w:rPr>
        <w:t> </w:t>
      </w:r>
      <w:r>
        <w:rPr/>
        <w:t>bem</w:t>
      </w:r>
      <w:r>
        <w:rPr>
          <w:spacing w:val="-9"/>
        </w:rPr>
        <w:t> </w:t>
      </w:r>
      <w:r>
        <w:rPr/>
        <w:t>como,</w:t>
      </w:r>
      <w:r>
        <w:rPr>
          <w:spacing w:val="-8"/>
        </w:rPr>
        <w:t> </w:t>
      </w:r>
      <w:r>
        <w:rPr/>
        <w:t>quando</w:t>
      </w:r>
      <w:r>
        <w:rPr>
          <w:spacing w:val="-10"/>
        </w:rPr>
        <w:t> </w:t>
      </w:r>
      <w:r>
        <w:rPr/>
        <w:t>aplicável,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estimativa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custos</w:t>
      </w:r>
      <w:r>
        <w:rPr>
          <w:spacing w:val="-10"/>
        </w:rPr>
        <w:t> </w:t>
      </w:r>
      <w:r>
        <w:rPr/>
        <w:t>com</w:t>
      </w:r>
      <w:r>
        <w:rPr>
          <w:spacing w:val="-8"/>
        </w:rPr>
        <w:t> </w:t>
      </w:r>
      <w:r>
        <w:rPr/>
        <w:t>desmontagem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remoção</w:t>
      </w:r>
      <w:r>
        <w:rPr>
          <w:spacing w:val="-8"/>
        </w:rPr>
        <w:t> </w:t>
      </w:r>
      <w:r>
        <w:rPr/>
        <w:t>do imobilizado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restauração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local</w:t>
      </w:r>
      <w:r>
        <w:rPr>
          <w:spacing w:val="-7"/>
        </w:rPr>
        <w:t> </w:t>
      </w:r>
      <w:r>
        <w:rPr/>
        <w:t>onde</w:t>
      </w:r>
      <w:r>
        <w:rPr>
          <w:spacing w:val="-7"/>
        </w:rPr>
        <w:t> </w:t>
      </w:r>
      <w:r>
        <w:rPr/>
        <w:t>está</w:t>
      </w:r>
      <w:r>
        <w:rPr>
          <w:spacing w:val="-7"/>
        </w:rPr>
        <w:t> </w:t>
      </w:r>
      <w:r>
        <w:rPr/>
        <w:t>localizado,</w:t>
      </w:r>
      <w:r>
        <w:rPr>
          <w:spacing w:val="-7"/>
        </w:rPr>
        <w:t> </w:t>
      </w:r>
      <w:r>
        <w:rPr/>
        <w:t>deduzido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depreciação</w:t>
      </w:r>
      <w:r>
        <w:rPr>
          <w:spacing w:val="-7"/>
        </w:rPr>
        <w:t> </w:t>
      </w:r>
      <w:r>
        <w:rPr/>
        <w:t>acumulada</w:t>
      </w:r>
      <w:r>
        <w:rPr>
          <w:spacing w:val="-7"/>
        </w:rPr>
        <w:t> </w:t>
      </w:r>
      <w:r>
        <w:rPr/>
        <w:t>e das perdas por redução ao valor recuperável de ativos. Os imobilizados são testados anualmente em relação a perdas por redução ao valor recuperável</w:t>
      </w:r>
      <w:r>
        <w:rPr>
          <w:spacing w:val="-2"/>
        </w:rPr>
        <w:t> </w:t>
      </w:r>
      <w:r>
        <w:rPr/>
        <w:t>(</w:t>
      </w:r>
      <w:r>
        <w:rPr>
          <w:rFonts w:ascii="Roboto" w:hAnsi="Roboto"/>
          <w:i/>
        </w:rPr>
        <w:t>impairment</w:t>
      </w:r>
      <w:r>
        <w:rPr/>
        <w:t>).</w:t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Intangível</w:t>
      </w:r>
    </w:p>
    <w:p>
      <w:pPr>
        <w:pStyle w:val="BodyText"/>
        <w:spacing w:line="242" w:lineRule="auto" w:before="173"/>
        <w:ind w:left="137" w:right="111" w:firstLine="226"/>
        <w:jc w:val="both"/>
      </w:pPr>
      <w:r>
        <w:rPr/>
        <w:t>Os intangíveis são representados por aquisição de licenças de uso de softwares e marcas adquiridas, e são registrados pelo custo de aquisição e/ou formação, que é amortizado, após a entrada</w:t>
      </w:r>
      <w:r>
        <w:rPr>
          <w:spacing w:val="-24"/>
        </w:rPr>
        <w:t> </w:t>
      </w:r>
      <w:r>
        <w:rPr/>
        <w:t>em</w:t>
      </w:r>
      <w:r>
        <w:rPr>
          <w:spacing w:val="-24"/>
        </w:rPr>
        <w:t> </w:t>
      </w:r>
      <w:r>
        <w:rPr>
          <w:spacing w:val="-3"/>
        </w:rPr>
        <w:t>operação,</w:t>
      </w:r>
      <w:r>
        <w:rPr>
          <w:spacing w:val="-24"/>
        </w:rPr>
        <w:t> </w:t>
      </w:r>
      <w:r>
        <w:rPr/>
        <w:t>sendo</w:t>
      </w:r>
      <w:r>
        <w:rPr>
          <w:spacing w:val="-24"/>
        </w:rPr>
        <w:t> </w:t>
      </w:r>
      <w:r>
        <w:rPr/>
        <w:t>seus</w:t>
      </w:r>
      <w:r>
        <w:rPr>
          <w:spacing w:val="-24"/>
        </w:rPr>
        <w:t> </w:t>
      </w:r>
      <w:r>
        <w:rPr/>
        <w:t>valores</w:t>
      </w:r>
      <w:r>
        <w:rPr>
          <w:spacing w:val="-25"/>
        </w:rPr>
        <w:t> </w:t>
      </w:r>
      <w:r>
        <w:rPr/>
        <w:t>recuperáveis</w:t>
      </w:r>
      <w:r>
        <w:rPr>
          <w:spacing w:val="-24"/>
        </w:rPr>
        <w:t> </w:t>
      </w:r>
      <w:r>
        <w:rPr/>
        <w:t>em</w:t>
      </w:r>
      <w:r>
        <w:rPr>
          <w:spacing w:val="-24"/>
        </w:rPr>
        <w:t> </w:t>
      </w:r>
      <w:r>
        <w:rPr/>
        <w:t>função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suas</w:t>
      </w:r>
      <w:r>
        <w:rPr>
          <w:spacing w:val="-24"/>
        </w:rPr>
        <w:t> </w:t>
      </w:r>
      <w:r>
        <w:rPr>
          <w:spacing w:val="-3"/>
        </w:rPr>
        <w:t>operações.</w:t>
      </w:r>
      <w:r>
        <w:rPr>
          <w:spacing w:val="-25"/>
        </w:rPr>
        <w:t> </w:t>
      </w:r>
      <w:r>
        <w:rPr/>
        <w:t>Os</w:t>
      </w:r>
      <w:r>
        <w:rPr>
          <w:spacing w:val="-24"/>
        </w:rPr>
        <w:t> </w:t>
      </w:r>
      <w:r>
        <w:rPr/>
        <w:t>intangíveis são testados anualmente em relação a perdas por redução ao valor recuperável</w:t>
      </w:r>
      <w:r>
        <w:rPr>
          <w:spacing w:val="-10"/>
        </w:rPr>
        <w:t> </w:t>
      </w:r>
      <w:r>
        <w:rPr/>
        <w:t>(</w:t>
      </w:r>
      <w:r>
        <w:rPr>
          <w:rFonts w:ascii="Roboto" w:hAnsi="Roboto"/>
          <w:i/>
        </w:rPr>
        <w:t>impairment</w:t>
      </w:r>
      <w:r>
        <w:rPr/>
        <w:t>).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Avaliação do Valor Recuperável dos</w:t>
      </w:r>
      <w:r>
        <w:rPr>
          <w:b w:val="0"/>
          <w:color w:val="7C7B7B"/>
          <w:spacing w:val="-8"/>
        </w:rPr>
        <w:t> </w:t>
      </w:r>
      <w:r>
        <w:rPr>
          <w:b w:val="0"/>
          <w:color w:val="7C7B7B"/>
        </w:rPr>
        <w:t>Ativos</w:t>
      </w:r>
    </w:p>
    <w:p>
      <w:pPr>
        <w:pStyle w:val="BodyText"/>
        <w:spacing w:line="249" w:lineRule="auto" w:before="172"/>
        <w:ind w:left="137" w:right="110" w:firstLine="226"/>
        <w:jc w:val="both"/>
      </w:pPr>
      <w:r>
        <w:rPr/>
        <w:t>Os</w:t>
      </w:r>
      <w:r>
        <w:rPr>
          <w:spacing w:val="-11"/>
        </w:rPr>
        <w:t> </w:t>
      </w:r>
      <w:r>
        <w:rPr/>
        <w:t>bens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imobilizado,</w:t>
      </w:r>
      <w:r>
        <w:rPr>
          <w:spacing w:val="-10"/>
        </w:rPr>
        <w:t> </w:t>
      </w:r>
      <w:r>
        <w:rPr/>
        <w:t>intangível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outros</w:t>
      </w:r>
      <w:r>
        <w:rPr>
          <w:spacing w:val="-10"/>
        </w:rPr>
        <w:t> </w:t>
      </w:r>
      <w:r>
        <w:rPr/>
        <w:t>ativos</w:t>
      </w:r>
      <w:r>
        <w:rPr>
          <w:spacing w:val="-10"/>
        </w:rPr>
        <w:t> </w:t>
      </w:r>
      <w:r>
        <w:rPr/>
        <w:t>não</w:t>
      </w:r>
      <w:r>
        <w:rPr>
          <w:spacing w:val="-11"/>
        </w:rPr>
        <w:t> </w:t>
      </w:r>
      <w:r>
        <w:rPr/>
        <w:t>circulantes</w:t>
      </w:r>
      <w:r>
        <w:rPr>
          <w:spacing w:val="-11"/>
        </w:rPr>
        <w:t> </w:t>
      </w:r>
      <w:r>
        <w:rPr/>
        <w:t>são</w:t>
      </w:r>
      <w:r>
        <w:rPr>
          <w:spacing w:val="-10"/>
        </w:rPr>
        <w:t> </w:t>
      </w:r>
      <w:r>
        <w:rPr/>
        <w:t>avaliados</w:t>
      </w:r>
      <w:r>
        <w:rPr>
          <w:spacing w:val="-11"/>
        </w:rPr>
        <w:t> </w:t>
      </w:r>
      <w:r>
        <w:rPr/>
        <w:t>periodicamente com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finalidade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identificar</w:t>
      </w:r>
      <w:r>
        <w:rPr>
          <w:spacing w:val="-21"/>
        </w:rPr>
        <w:t> </w:t>
      </w:r>
      <w:r>
        <w:rPr/>
        <w:t>evidências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levem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perdas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valores</w:t>
      </w:r>
      <w:r>
        <w:rPr>
          <w:spacing w:val="-22"/>
        </w:rPr>
        <w:t> </w:t>
      </w:r>
      <w:r>
        <w:rPr/>
        <w:t>não</w:t>
      </w:r>
      <w:r>
        <w:rPr>
          <w:spacing w:val="-21"/>
        </w:rPr>
        <w:t> </w:t>
      </w:r>
      <w:r>
        <w:rPr/>
        <w:t>recuperáveis,</w:t>
      </w:r>
      <w:r>
        <w:rPr>
          <w:spacing w:val="-21"/>
        </w:rPr>
        <w:t> </w:t>
      </w:r>
      <w:r>
        <w:rPr/>
        <w:t>ou,</w:t>
      </w:r>
      <w:r>
        <w:rPr>
          <w:spacing w:val="-22"/>
        </w:rPr>
        <w:t> </w:t>
      </w:r>
      <w:r>
        <w:rPr/>
        <w:t>ainda, sempre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eventos</w:t>
      </w:r>
      <w:r>
        <w:rPr>
          <w:spacing w:val="-10"/>
        </w:rPr>
        <w:t> </w:t>
      </w:r>
      <w:r>
        <w:rPr/>
        <w:t>ou</w:t>
      </w:r>
      <w:r>
        <w:rPr>
          <w:spacing w:val="-11"/>
        </w:rPr>
        <w:t> </w:t>
      </w:r>
      <w:r>
        <w:rPr/>
        <w:t>alterações</w:t>
      </w:r>
      <w:r>
        <w:rPr>
          <w:spacing w:val="-10"/>
        </w:rPr>
        <w:t> </w:t>
      </w:r>
      <w:r>
        <w:rPr/>
        <w:t>significativas</w:t>
      </w:r>
      <w:r>
        <w:rPr>
          <w:spacing w:val="-10"/>
        </w:rPr>
        <w:t> </w:t>
      </w:r>
      <w:r>
        <w:rPr/>
        <w:t>nas</w:t>
      </w:r>
      <w:r>
        <w:rPr>
          <w:spacing w:val="-10"/>
        </w:rPr>
        <w:t> </w:t>
      </w:r>
      <w:r>
        <w:rPr/>
        <w:t>circunstâncias</w:t>
      </w:r>
      <w:r>
        <w:rPr>
          <w:spacing w:val="-11"/>
        </w:rPr>
        <w:t> </w:t>
      </w:r>
      <w:r>
        <w:rPr/>
        <w:t>indicarem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valor</w:t>
      </w:r>
      <w:r>
        <w:rPr>
          <w:spacing w:val="-11"/>
        </w:rPr>
        <w:t> </w:t>
      </w:r>
      <w:r>
        <w:rPr/>
        <w:t>contábil pode não ser recuperável. Quando aplicável, ocorrendo perda decorrente das situações em que o valor contábil do ativo ultrapasse seu valor recuperável – definido pelo maior valor entre o valor em uso do ativo e o valor líquido de venda do ativo –, esta é reconhecida no resultado do</w:t>
      </w:r>
      <w:r>
        <w:rPr>
          <w:spacing w:val="-22"/>
        </w:rPr>
        <w:t> </w:t>
      </w:r>
      <w:r>
        <w:rPr/>
        <w:t>período.</w:t>
      </w:r>
    </w:p>
    <w:p>
      <w:pPr>
        <w:pStyle w:val="BodyText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Arrendamento</w:t>
      </w:r>
      <w:r>
        <w:rPr>
          <w:b w:val="0"/>
          <w:color w:val="7C7B7B"/>
          <w:spacing w:val="-2"/>
        </w:rPr>
        <w:t> </w:t>
      </w:r>
      <w:r>
        <w:rPr>
          <w:b w:val="0"/>
          <w:color w:val="7C7B7B"/>
        </w:rPr>
        <w:t>Mercantil</w:t>
      </w:r>
    </w:p>
    <w:p>
      <w:pPr>
        <w:pStyle w:val="BodyText"/>
        <w:spacing w:line="249" w:lineRule="auto" w:before="173"/>
        <w:ind w:left="137" w:right="113" w:firstLine="226"/>
        <w:jc w:val="both"/>
      </w:pPr>
      <w:r>
        <w:rPr/>
        <w:t>O</w:t>
      </w:r>
      <w:r>
        <w:rPr>
          <w:spacing w:val="-27"/>
        </w:rPr>
        <w:t> </w:t>
      </w:r>
      <w:r>
        <w:rPr/>
        <w:t>CPC</w:t>
      </w:r>
      <w:r>
        <w:rPr>
          <w:spacing w:val="-26"/>
        </w:rPr>
        <w:t> </w:t>
      </w:r>
      <w:r>
        <w:rPr/>
        <w:t>06</w:t>
      </w:r>
      <w:r>
        <w:rPr>
          <w:spacing w:val="-26"/>
        </w:rPr>
        <w:t> </w:t>
      </w:r>
      <w:r>
        <w:rPr/>
        <w:t>–</w:t>
      </w:r>
      <w:r>
        <w:rPr>
          <w:spacing w:val="-27"/>
        </w:rPr>
        <w:t> </w:t>
      </w:r>
      <w:r>
        <w:rPr>
          <w:spacing w:val="-3"/>
        </w:rPr>
        <w:t>Arrendamento</w:t>
      </w:r>
      <w:r>
        <w:rPr>
          <w:spacing w:val="-26"/>
        </w:rPr>
        <w:t> </w:t>
      </w:r>
      <w:r>
        <w:rPr/>
        <w:t>Mercantil,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entrou</w:t>
      </w:r>
      <w:r>
        <w:rPr>
          <w:spacing w:val="-26"/>
        </w:rPr>
        <w:t> </w:t>
      </w:r>
      <w:r>
        <w:rPr/>
        <w:t>em</w:t>
      </w:r>
      <w:r>
        <w:rPr>
          <w:spacing w:val="-26"/>
        </w:rPr>
        <w:t> </w:t>
      </w:r>
      <w:r>
        <w:rPr/>
        <w:t>vigência</w:t>
      </w:r>
      <w:r>
        <w:rPr>
          <w:spacing w:val="-26"/>
        </w:rPr>
        <w:t> </w:t>
      </w:r>
      <w:r>
        <w:rPr/>
        <w:t>em</w:t>
      </w:r>
      <w:r>
        <w:rPr>
          <w:spacing w:val="-26"/>
        </w:rPr>
        <w:t> </w:t>
      </w:r>
      <w:r>
        <w:rPr/>
        <w:t>1º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/>
        <w:t>janeiro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2019,</w:t>
      </w:r>
      <w:r>
        <w:rPr>
          <w:spacing w:val="-27"/>
        </w:rPr>
        <w:t> </w:t>
      </w:r>
      <w:r>
        <w:rPr/>
        <w:t>estabeleceu os princípios para reconhecimento, mensuração, apresentação e divulgação para contratos de arrendamento. A norma introduz, para os arrendatários, um modelo único de contabilização do balanço</w:t>
      </w:r>
      <w:r>
        <w:rPr>
          <w:spacing w:val="-24"/>
        </w:rPr>
        <w:t> </w:t>
      </w:r>
      <w:r>
        <w:rPr/>
        <w:t>patrimonial,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qual</w:t>
      </w:r>
      <w:r>
        <w:rPr>
          <w:spacing w:val="-23"/>
        </w:rPr>
        <w:t> </w:t>
      </w:r>
      <w:r>
        <w:rPr/>
        <w:t>estes</w:t>
      </w:r>
      <w:r>
        <w:rPr>
          <w:spacing w:val="-23"/>
        </w:rPr>
        <w:t> </w:t>
      </w:r>
      <w:r>
        <w:rPr/>
        <w:t>são</w:t>
      </w:r>
      <w:r>
        <w:rPr>
          <w:spacing w:val="-23"/>
        </w:rPr>
        <w:t> </w:t>
      </w:r>
      <w:r>
        <w:rPr/>
        <w:t>requeridos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reconhecer</w:t>
      </w:r>
      <w:r>
        <w:rPr>
          <w:spacing w:val="-23"/>
        </w:rPr>
        <w:t> </w:t>
      </w:r>
      <w:r>
        <w:rPr/>
        <w:t>um</w:t>
      </w:r>
      <w:r>
        <w:rPr>
          <w:spacing w:val="-23"/>
        </w:rPr>
        <w:t> </w:t>
      </w:r>
      <w:r>
        <w:rPr/>
        <w:t>ativo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arrendamento</w:t>
      </w:r>
      <w:r>
        <w:rPr>
          <w:spacing w:val="-23"/>
        </w:rPr>
        <w:t> </w:t>
      </w:r>
      <w:r>
        <w:rPr/>
        <w:t>refletindo os futuros pagamentos com a referida depreciação. A natureza da despesa relacionada a estes arrendamentos foi alterada, deixando de ser uma despesa linear de arrendamento operacional e passando a representar uma despesa de depreciação do direito de uso e despesa de juros pela atualização do passivo de arrendamento a uma taxa desconto ou</w:t>
      </w:r>
      <w:r>
        <w:rPr>
          <w:spacing w:val="-9"/>
        </w:rPr>
        <w:t> </w:t>
      </w:r>
      <w:r>
        <w:rPr/>
        <w:t>incremental.</w:t>
      </w:r>
    </w:p>
    <w:p>
      <w:pPr>
        <w:pStyle w:val="BodyText"/>
        <w:spacing w:line="249" w:lineRule="auto" w:before="135"/>
        <w:ind w:left="137" w:right="116" w:firstLine="226"/>
        <w:jc w:val="both"/>
      </w:pPr>
      <w:r>
        <w:rPr/>
        <w:t>A</w:t>
      </w:r>
      <w:r>
        <w:rPr>
          <w:spacing w:val="-26"/>
        </w:rPr>
        <w:t> </w:t>
      </w:r>
      <w:r>
        <w:rPr>
          <w:spacing w:val="-4"/>
        </w:rPr>
        <w:t>Hemobrás</w:t>
      </w:r>
      <w:r>
        <w:rPr>
          <w:spacing w:val="-26"/>
        </w:rPr>
        <w:t> </w:t>
      </w:r>
      <w:r>
        <w:rPr>
          <w:spacing w:val="-3"/>
        </w:rPr>
        <w:t>avaliou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aplicação</w:t>
      </w:r>
      <w:r>
        <w:rPr>
          <w:spacing w:val="-25"/>
        </w:rPr>
        <w:t> </w:t>
      </w:r>
      <w:r>
        <w:rPr/>
        <w:t>do</w:t>
      </w:r>
      <w:r>
        <w:rPr>
          <w:spacing w:val="-26"/>
        </w:rPr>
        <w:t> </w:t>
      </w:r>
      <w:r>
        <w:rPr/>
        <w:t>CPC</w:t>
      </w:r>
      <w:r>
        <w:rPr>
          <w:spacing w:val="-26"/>
        </w:rPr>
        <w:t> </w:t>
      </w:r>
      <w:r>
        <w:rPr/>
        <w:t>06</w:t>
      </w:r>
      <w:r>
        <w:rPr>
          <w:spacing w:val="-25"/>
        </w:rPr>
        <w:t> </w:t>
      </w:r>
      <w:r>
        <w:rPr>
          <w:spacing w:val="-4"/>
        </w:rPr>
        <w:t>para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>
          <w:spacing w:val="-4"/>
        </w:rPr>
        <w:t>exercício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2019,</w:t>
      </w:r>
      <w:r>
        <w:rPr>
          <w:spacing w:val="-25"/>
        </w:rPr>
        <w:t> </w:t>
      </w:r>
      <w:r>
        <w:rPr/>
        <w:t>em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não</w:t>
      </w:r>
      <w:r>
        <w:rPr>
          <w:spacing w:val="-26"/>
        </w:rPr>
        <w:t> </w:t>
      </w:r>
      <w:r>
        <w:rPr>
          <w:spacing w:val="-4"/>
        </w:rPr>
        <w:t>foram</w:t>
      </w:r>
      <w:r>
        <w:rPr>
          <w:spacing w:val="-26"/>
        </w:rPr>
        <w:t> </w:t>
      </w:r>
      <w:r>
        <w:rPr>
          <w:spacing w:val="-3"/>
        </w:rPr>
        <w:t>identificados </w:t>
      </w:r>
      <w:r>
        <w:rPr/>
        <w:t>contratos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arredamento</w:t>
      </w:r>
      <w:r>
        <w:rPr>
          <w:spacing w:val="-13"/>
        </w:rPr>
        <w:t> </w:t>
      </w:r>
      <w:r>
        <w:rPr/>
        <w:t>superiores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12</w:t>
      </w:r>
      <w:r>
        <w:rPr>
          <w:spacing w:val="-13"/>
        </w:rPr>
        <w:t> </w:t>
      </w:r>
      <w:r>
        <w:rPr/>
        <w:t>meses,</w:t>
      </w:r>
      <w:r>
        <w:rPr>
          <w:spacing w:val="-13"/>
        </w:rPr>
        <w:t> </w:t>
      </w:r>
      <w:r>
        <w:rPr/>
        <w:t>considerando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contratos</w:t>
      </w:r>
      <w:r>
        <w:rPr>
          <w:spacing w:val="-13"/>
        </w:rPr>
        <w:t> </w:t>
      </w:r>
      <w:r>
        <w:rPr/>
        <w:t>inferiores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R$</w:t>
      </w:r>
      <w:r>
        <w:rPr>
          <w:spacing w:val="-13"/>
        </w:rPr>
        <w:t> </w:t>
      </w:r>
      <w:r>
        <w:rPr/>
        <w:t>50</w:t>
      </w:r>
      <w:r>
        <w:rPr>
          <w:spacing w:val="-12"/>
        </w:rPr>
        <w:t> </w:t>
      </w:r>
      <w:r>
        <w:rPr/>
        <w:t>mil como um ativo de baixo </w:t>
      </w:r>
      <w:r>
        <w:rPr>
          <w:spacing w:val="-3"/>
        </w:rPr>
        <w:t>valor. </w:t>
      </w:r>
      <w:r>
        <w:rPr/>
        <w:t>Os contratos vigentes se referem a arrendamento de máquinas e equipamentos, veículos leves e</w:t>
      </w:r>
      <w:r>
        <w:rPr>
          <w:spacing w:val="-2"/>
        </w:rPr>
        <w:t> </w:t>
      </w:r>
      <w:r>
        <w:rPr/>
        <w:t>imóveis.</w:t>
      </w:r>
    </w:p>
    <w:p>
      <w:pPr>
        <w:pStyle w:val="BodyText"/>
        <w:spacing w:line="249" w:lineRule="auto" w:before="138"/>
        <w:ind w:left="137" w:right="113" w:firstLine="226"/>
        <w:jc w:val="both"/>
      </w:pPr>
      <w:r>
        <w:rPr/>
        <w:t>Importante destacar que a Hemobrás analisou, porém não identificou: (i) contratos que tratem de</w:t>
      </w:r>
      <w:r>
        <w:rPr>
          <w:spacing w:val="-19"/>
        </w:rPr>
        <w:t> </w:t>
      </w:r>
      <w:r>
        <w:rPr/>
        <w:t>ativos</w:t>
      </w:r>
      <w:r>
        <w:rPr>
          <w:spacing w:val="-19"/>
        </w:rPr>
        <w:t> </w:t>
      </w:r>
      <w:r>
        <w:rPr/>
        <w:t>identificáveis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não</w:t>
      </w:r>
      <w:r>
        <w:rPr>
          <w:spacing w:val="-19"/>
        </w:rPr>
        <w:t> </w:t>
      </w:r>
      <w:r>
        <w:rPr/>
        <w:t>identificáveis</w:t>
      </w:r>
      <w:r>
        <w:rPr>
          <w:spacing w:val="-18"/>
        </w:rPr>
        <w:t> </w:t>
      </w:r>
      <w:r>
        <w:rPr/>
        <w:t>na</w:t>
      </w:r>
      <w:r>
        <w:rPr>
          <w:spacing w:val="-19"/>
        </w:rPr>
        <w:t> </w:t>
      </w:r>
      <w:r>
        <w:rPr/>
        <w:t>mesma</w:t>
      </w:r>
      <w:r>
        <w:rPr>
          <w:spacing w:val="-19"/>
        </w:rPr>
        <w:t> </w:t>
      </w:r>
      <w:r>
        <w:rPr/>
        <w:t>negociação;</w:t>
      </w:r>
      <w:r>
        <w:rPr>
          <w:spacing w:val="-18"/>
        </w:rPr>
        <w:t> </w:t>
      </w:r>
      <w:r>
        <w:rPr/>
        <w:t>ou</w:t>
      </w:r>
      <w:r>
        <w:rPr>
          <w:spacing w:val="-20"/>
        </w:rPr>
        <w:t> </w:t>
      </w:r>
      <w:r>
        <w:rPr/>
        <w:t>(ii)</w:t>
      </w:r>
      <w:r>
        <w:rPr>
          <w:spacing w:val="-18"/>
        </w:rPr>
        <w:t> </w:t>
      </w:r>
      <w:r>
        <w:rPr/>
        <w:t>contratos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prestação</w:t>
      </w:r>
      <w:r>
        <w:rPr>
          <w:spacing w:val="-19"/>
        </w:rPr>
        <w:t> </w:t>
      </w:r>
      <w:r>
        <w:rPr/>
        <w:t>de serviços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foram</w:t>
      </w:r>
      <w:r>
        <w:rPr>
          <w:spacing w:val="-11"/>
        </w:rPr>
        <w:t> </w:t>
      </w:r>
      <w:r>
        <w:rPr/>
        <w:t>constatados</w:t>
      </w:r>
      <w:r>
        <w:rPr>
          <w:spacing w:val="-10"/>
        </w:rPr>
        <w:t> </w:t>
      </w:r>
      <w:r>
        <w:rPr/>
        <w:t>ativos</w:t>
      </w:r>
      <w:r>
        <w:rPr>
          <w:spacing w:val="-11"/>
        </w:rPr>
        <w:t> </w:t>
      </w:r>
      <w:r>
        <w:rPr/>
        <w:t>identificáveis</w:t>
      </w:r>
      <w:r>
        <w:rPr>
          <w:spacing w:val="-11"/>
        </w:rPr>
        <w:t> </w:t>
      </w:r>
      <w:r>
        <w:rPr/>
        <w:t>dentro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escopo</w:t>
      </w:r>
      <w:r>
        <w:rPr>
          <w:spacing w:val="-10"/>
        </w:rPr>
        <w:t> </w:t>
      </w:r>
      <w:r>
        <w:rPr/>
        <w:t>da</w:t>
      </w:r>
      <w:r>
        <w:rPr>
          <w:spacing w:val="-11"/>
        </w:rPr>
        <w:t> </w:t>
      </w:r>
      <w:r>
        <w:rPr/>
        <w:t>norma.</w:t>
      </w:r>
      <w:r>
        <w:rPr>
          <w:spacing w:val="-11"/>
        </w:rPr>
        <w:t> </w:t>
      </w:r>
      <w:r>
        <w:rPr/>
        <w:t>Anualmente, a Administração avaliará a aderência da norma às suas</w:t>
      </w:r>
      <w:r>
        <w:rPr>
          <w:spacing w:val="-5"/>
        </w:rPr>
        <w:t> </w:t>
      </w:r>
      <w:r>
        <w:rPr/>
        <w:t>operações.</w:t>
      </w:r>
    </w:p>
    <w:p>
      <w:pPr>
        <w:spacing w:after="0" w:line="249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63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Fornecedores</w:t>
      </w:r>
    </w:p>
    <w:p>
      <w:pPr>
        <w:pStyle w:val="BodyText"/>
        <w:spacing w:line="247" w:lineRule="auto" w:before="171"/>
        <w:ind w:left="137" w:right="115" w:firstLine="226"/>
        <w:jc w:val="both"/>
      </w:pPr>
      <w:r>
        <w:rPr/>
        <w:t>São demonstrados pelos valores conhecidos ou calculáveis, acrescidos, quando aplicável, dos correspondentes encargos e variações monetárias auferidas/incorridas, que são apropriados em despesas e receitas financeiras. As obrigações são classificadas em (i) Circulantes, quando os prazos</w:t>
      </w:r>
      <w:r>
        <w:rPr>
          <w:spacing w:val="-20"/>
        </w:rPr>
        <w:t> </w:t>
      </w:r>
      <w:r>
        <w:rPr/>
        <w:t>estabelecidos</w:t>
      </w:r>
      <w:r>
        <w:rPr>
          <w:spacing w:val="-20"/>
        </w:rPr>
        <w:t> </w:t>
      </w:r>
      <w:r>
        <w:rPr/>
        <w:t>ou</w:t>
      </w:r>
      <w:r>
        <w:rPr>
          <w:spacing w:val="-20"/>
        </w:rPr>
        <w:t> </w:t>
      </w:r>
      <w:r>
        <w:rPr/>
        <w:t>esperados</w:t>
      </w:r>
      <w:r>
        <w:rPr>
          <w:spacing w:val="-20"/>
        </w:rPr>
        <w:t> </w:t>
      </w:r>
      <w:r>
        <w:rPr/>
        <w:t>situem-se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curso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exercício</w:t>
      </w:r>
      <w:r>
        <w:rPr>
          <w:spacing w:val="-20"/>
        </w:rPr>
        <w:t> </w:t>
      </w:r>
      <w:r>
        <w:rPr/>
        <w:t>subsequente</w:t>
      </w:r>
      <w:r>
        <w:rPr>
          <w:spacing w:val="-20"/>
        </w:rPr>
        <w:t> </w:t>
      </w:r>
      <w:r>
        <w:rPr/>
        <w:t>à</w:t>
      </w:r>
      <w:r>
        <w:rPr>
          <w:spacing w:val="-20"/>
        </w:rPr>
        <w:t> </w:t>
      </w:r>
      <w:r>
        <w:rPr/>
        <w:t>data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balanço patrimonial; e (ii) Não Circulantes, quando os prazos estabelecidos ou esperados situem-se após o término do exercício subsequente à data do balanço</w:t>
      </w:r>
      <w:r>
        <w:rPr>
          <w:spacing w:val="-5"/>
        </w:rPr>
        <w:t> </w:t>
      </w:r>
      <w:r>
        <w:rPr/>
        <w:t>patrimonial.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0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Provisões para Riscos Trabalhistas, Fiscais e</w:t>
      </w:r>
      <w:r>
        <w:rPr>
          <w:b w:val="0"/>
          <w:color w:val="7C7B7B"/>
          <w:spacing w:val="-17"/>
        </w:rPr>
        <w:t> </w:t>
      </w:r>
      <w:r>
        <w:rPr>
          <w:b w:val="0"/>
          <w:color w:val="7C7B7B"/>
        </w:rPr>
        <w:t>Cíveis</w:t>
      </w:r>
    </w:p>
    <w:p>
      <w:pPr>
        <w:pStyle w:val="BodyText"/>
        <w:spacing w:line="247" w:lineRule="auto" w:before="171"/>
        <w:ind w:left="137" w:right="111" w:firstLine="226"/>
        <w:jc w:val="both"/>
      </w:pPr>
      <w:r>
        <w:rPr/>
        <w:t>São</w:t>
      </w:r>
      <w:r>
        <w:rPr>
          <w:spacing w:val="-25"/>
        </w:rPr>
        <w:t> </w:t>
      </w:r>
      <w:r>
        <w:rPr/>
        <w:t>definidas</w:t>
      </w:r>
      <w:r>
        <w:rPr>
          <w:spacing w:val="-24"/>
        </w:rPr>
        <w:t> </w:t>
      </w:r>
      <w:r>
        <w:rPr/>
        <w:t>com</w:t>
      </w:r>
      <w:r>
        <w:rPr>
          <w:spacing w:val="-25"/>
        </w:rPr>
        <w:t> </w:t>
      </w:r>
      <w:r>
        <w:rPr/>
        <w:t>base</w:t>
      </w:r>
      <w:r>
        <w:rPr>
          <w:spacing w:val="-24"/>
        </w:rPr>
        <w:t> </w:t>
      </w:r>
      <w:r>
        <w:rPr/>
        <w:t>em</w:t>
      </w:r>
      <w:r>
        <w:rPr>
          <w:spacing w:val="-25"/>
        </w:rPr>
        <w:t> </w:t>
      </w:r>
      <w:r>
        <w:rPr/>
        <w:t>avaliação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qualificação</w:t>
      </w:r>
      <w:r>
        <w:rPr>
          <w:spacing w:val="-25"/>
        </w:rPr>
        <w:t> </w:t>
      </w:r>
      <w:r>
        <w:rPr/>
        <w:t>dos</w:t>
      </w:r>
      <w:r>
        <w:rPr>
          <w:spacing w:val="-24"/>
        </w:rPr>
        <w:t> </w:t>
      </w:r>
      <w:r>
        <w:rPr/>
        <w:t>riscos</w:t>
      </w:r>
      <w:r>
        <w:rPr>
          <w:spacing w:val="-25"/>
        </w:rPr>
        <w:t> </w:t>
      </w:r>
      <w:r>
        <w:rPr/>
        <w:t>cuja</w:t>
      </w:r>
      <w:r>
        <w:rPr>
          <w:spacing w:val="-24"/>
        </w:rPr>
        <w:t> </w:t>
      </w:r>
      <w:r>
        <w:rPr/>
        <w:t>perda</w:t>
      </w:r>
      <w:r>
        <w:rPr>
          <w:spacing w:val="-24"/>
        </w:rPr>
        <w:t> </w:t>
      </w:r>
      <w:r>
        <w:rPr/>
        <w:t>é</w:t>
      </w:r>
      <w:r>
        <w:rPr>
          <w:spacing w:val="-25"/>
        </w:rPr>
        <w:t> </w:t>
      </w:r>
      <w:r>
        <w:rPr/>
        <w:t>considerada</w:t>
      </w:r>
      <w:r>
        <w:rPr>
          <w:spacing w:val="-24"/>
        </w:rPr>
        <w:t> </w:t>
      </w:r>
      <w:r>
        <w:rPr>
          <w:spacing w:val="-3"/>
        </w:rPr>
        <w:t>provável, </w:t>
      </w:r>
      <w:r>
        <w:rPr/>
        <w:t>conforme o CPC 25 – Provisões, Passivos Contingentes e Ativos Contingentes. Essa avaliação é suportada</w:t>
      </w:r>
      <w:r>
        <w:rPr>
          <w:spacing w:val="-30"/>
        </w:rPr>
        <w:t> </w:t>
      </w:r>
      <w:r>
        <w:rPr/>
        <w:t>pelo</w:t>
      </w:r>
      <w:r>
        <w:rPr>
          <w:spacing w:val="-30"/>
        </w:rPr>
        <w:t> </w:t>
      </w:r>
      <w:r>
        <w:rPr/>
        <w:t>julgamento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>
          <w:spacing w:val="-3"/>
        </w:rPr>
        <w:t>Procuradoria</w:t>
      </w:r>
      <w:r>
        <w:rPr>
          <w:spacing w:val="-30"/>
        </w:rPr>
        <w:t> </w:t>
      </w:r>
      <w:r>
        <w:rPr/>
        <w:t>Jurídica</w:t>
      </w:r>
      <w:r>
        <w:rPr>
          <w:spacing w:val="-30"/>
        </w:rPr>
        <w:t> </w:t>
      </w:r>
      <w:r>
        <w:rPr/>
        <w:t>da</w:t>
      </w:r>
      <w:r>
        <w:rPr>
          <w:spacing w:val="-29"/>
        </w:rPr>
        <w:t> </w:t>
      </w:r>
      <w:r>
        <w:rPr/>
        <w:t>Companhia,</w:t>
      </w:r>
      <w:r>
        <w:rPr>
          <w:spacing w:val="-30"/>
        </w:rPr>
        <w:t> </w:t>
      </w:r>
      <w:r>
        <w:rPr>
          <w:spacing w:val="-3"/>
        </w:rPr>
        <w:t>considerando</w:t>
      </w:r>
      <w:r>
        <w:rPr>
          <w:spacing w:val="-30"/>
        </w:rPr>
        <w:t> </w:t>
      </w:r>
      <w:r>
        <w:rPr/>
        <w:t>as</w:t>
      </w:r>
      <w:r>
        <w:rPr>
          <w:spacing w:val="-30"/>
        </w:rPr>
        <w:t> </w:t>
      </w:r>
      <w:r>
        <w:rPr/>
        <w:t>jurisprudências, as decisões em instâncias iniciais e superiores, o histórico de eventuais acordos e decisões, a experiência de seus assessores jurídicos, bem como outros aspectos</w:t>
      </w:r>
      <w:r>
        <w:rPr>
          <w:spacing w:val="-8"/>
        </w:rPr>
        <w:t> </w:t>
      </w:r>
      <w:r>
        <w:rPr/>
        <w:t>aplicáveis.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0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Demais Ativos e Passivos Circulantes e não</w:t>
      </w:r>
      <w:r>
        <w:rPr>
          <w:b w:val="0"/>
          <w:color w:val="7C7B7B"/>
          <w:spacing w:val="-12"/>
        </w:rPr>
        <w:t> </w:t>
      </w:r>
      <w:r>
        <w:rPr>
          <w:b w:val="0"/>
          <w:color w:val="7C7B7B"/>
        </w:rPr>
        <w:t>Circulantes</w:t>
      </w:r>
    </w:p>
    <w:p>
      <w:pPr>
        <w:pStyle w:val="BodyText"/>
        <w:spacing w:line="247" w:lineRule="auto" w:before="171"/>
        <w:ind w:left="137" w:right="114" w:firstLine="226"/>
        <w:jc w:val="both"/>
      </w:pPr>
      <w:r>
        <w:rPr/>
        <w:t>Os</w:t>
      </w:r>
      <w:r>
        <w:rPr>
          <w:spacing w:val="-6"/>
        </w:rPr>
        <w:t> </w:t>
      </w:r>
      <w:r>
        <w:rPr/>
        <w:t>demais</w:t>
      </w:r>
      <w:r>
        <w:rPr>
          <w:spacing w:val="-5"/>
        </w:rPr>
        <w:t> </w:t>
      </w:r>
      <w:r>
        <w:rPr/>
        <w:t>ativos</w:t>
      </w:r>
      <w:r>
        <w:rPr>
          <w:spacing w:val="-5"/>
        </w:rPr>
        <w:t> </w:t>
      </w:r>
      <w:r>
        <w:rPr/>
        <w:t>são</w:t>
      </w:r>
      <w:r>
        <w:rPr>
          <w:spacing w:val="-6"/>
        </w:rPr>
        <w:t> </w:t>
      </w:r>
      <w:r>
        <w:rPr/>
        <w:t>registrados</w:t>
      </w:r>
      <w:r>
        <w:rPr>
          <w:spacing w:val="-5"/>
        </w:rPr>
        <w:t> </w:t>
      </w:r>
      <w:r>
        <w:rPr/>
        <w:t>pelo</w:t>
      </w:r>
      <w:r>
        <w:rPr>
          <w:spacing w:val="-5"/>
        </w:rPr>
        <w:t> </w:t>
      </w:r>
      <w:r>
        <w:rPr/>
        <w:t>custo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aquisição,</w:t>
      </w:r>
      <w:r>
        <w:rPr>
          <w:spacing w:val="-5"/>
        </w:rPr>
        <w:t> </w:t>
      </w:r>
      <w:r>
        <w:rPr/>
        <w:t>reduzidos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provisão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ajuste</w:t>
      </w:r>
      <w:r>
        <w:rPr>
          <w:spacing w:val="-5"/>
        </w:rPr>
        <w:t> </w:t>
      </w:r>
      <w:r>
        <w:rPr/>
        <w:t>ao valor</w:t>
      </w:r>
      <w:r>
        <w:rPr>
          <w:spacing w:val="-29"/>
        </w:rPr>
        <w:t> </w:t>
      </w:r>
      <w:r>
        <w:rPr/>
        <w:t>recuperável,</w:t>
      </w:r>
      <w:r>
        <w:rPr>
          <w:spacing w:val="-29"/>
        </w:rPr>
        <w:t> </w:t>
      </w:r>
      <w:r>
        <w:rPr/>
        <w:t>quando</w:t>
      </w:r>
      <w:r>
        <w:rPr>
          <w:spacing w:val="-29"/>
        </w:rPr>
        <w:t> </w:t>
      </w:r>
      <w:r>
        <w:rPr/>
        <w:t>aplicável.</w:t>
      </w:r>
      <w:r>
        <w:rPr>
          <w:spacing w:val="-29"/>
        </w:rPr>
        <w:t> </w:t>
      </w:r>
      <w:r>
        <w:rPr/>
        <w:t>As</w:t>
      </w:r>
      <w:r>
        <w:rPr>
          <w:spacing w:val="-29"/>
        </w:rPr>
        <w:t> </w:t>
      </w:r>
      <w:r>
        <w:rPr/>
        <w:t>demais</w:t>
      </w:r>
      <w:r>
        <w:rPr>
          <w:spacing w:val="-29"/>
        </w:rPr>
        <w:t> </w:t>
      </w:r>
      <w:r>
        <w:rPr/>
        <w:t>obrigações</w:t>
      </w:r>
      <w:r>
        <w:rPr>
          <w:spacing w:val="-29"/>
        </w:rPr>
        <w:t> </w:t>
      </w:r>
      <w:r>
        <w:rPr/>
        <w:t>são</w:t>
      </w:r>
      <w:r>
        <w:rPr>
          <w:spacing w:val="-29"/>
        </w:rPr>
        <w:t> </w:t>
      </w:r>
      <w:r>
        <w:rPr/>
        <w:t>registradas</w:t>
      </w:r>
      <w:r>
        <w:rPr>
          <w:spacing w:val="-28"/>
        </w:rPr>
        <w:t> </w:t>
      </w:r>
      <w:r>
        <w:rPr/>
        <w:t>pelos</w:t>
      </w:r>
      <w:r>
        <w:rPr>
          <w:spacing w:val="-29"/>
        </w:rPr>
        <w:t> </w:t>
      </w:r>
      <w:r>
        <w:rPr/>
        <w:t>valores</w:t>
      </w:r>
      <w:r>
        <w:rPr>
          <w:spacing w:val="-29"/>
        </w:rPr>
        <w:t> </w:t>
      </w:r>
      <w:r>
        <w:rPr/>
        <w:t>conhecidos ou</w:t>
      </w:r>
      <w:r>
        <w:rPr>
          <w:spacing w:val="-27"/>
        </w:rPr>
        <w:t> </w:t>
      </w:r>
      <w:r>
        <w:rPr/>
        <w:t>calculáveis,</w:t>
      </w:r>
      <w:r>
        <w:rPr>
          <w:spacing w:val="-27"/>
        </w:rPr>
        <w:t> </w:t>
      </w:r>
      <w:r>
        <w:rPr/>
        <w:t>acrescidos,</w:t>
      </w:r>
      <w:r>
        <w:rPr>
          <w:spacing w:val="-27"/>
        </w:rPr>
        <w:t> </w:t>
      </w:r>
      <w:r>
        <w:rPr/>
        <w:t>quando</w:t>
      </w:r>
      <w:r>
        <w:rPr>
          <w:spacing w:val="-27"/>
        </w:rPr>
        <w:t> </w:t>
      </w:r>
      <w:r>
        <w:rPr/>
        <w:t>aplicável,</w:t>
      </w:r>
      <w:r>
        <w:rPr>
          <w:spacing w:val="-27"/>
        </w:rPr>
        <w:t> </w:t>
      </w:r>
      <w:r>
        <w:rPr/>
        <w:t>dos</w:t>
      </w:r>
      <w:r>
        <w:rPr>
          <w:spacing w:val="-27"/>
        </w:rPr>
        <w:t> </w:t>
      </w:r>
      <w:r>
        <w:rPr/>
        <w:t>correspondentes</w:t>
      </w:r>
      <w:r>
        <w:rPr>
          <w:spacing w:val="-27"/>
        </w:rPr>
        <w:t> </w:t>
      </w:r>
      <w:r>
        <w:rPr/>
        <w:t>encargos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variações</w:t>
      </w:r>
      <w:r>
        <w:rPr>
          <w:spacing w:val="-27"/>
        </w:rPr>
        <w:t> </w:t>
      </w:r>
      <w:r>
        <w:rPr/>
        <w:t>monetárias incorridas.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0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Partes</w:t>
      </w:r>
      <w:r>
        <w:rPr>
          <w:b w:val="0"/>
          <w:color w:val="7C7B7B"/>
          <w:spacing w:val="-1"/>
        </w:rPr>
        <w:t> </w:t>
      </w:r>
      <w:r>
        <w:rPr>
          <w:b w:val="0"/>
          <w:color w:val="7C7B7B"/>
        </w:rPr>
        <w:t>Relacionadas</w:t>
      </w:r>
    </w:p>
    <w:p>
      <w:pPr>
        <w:pStyle w:val="BodyText"/>
        <w:spacing w:line="247" w:lineRule="auto" w:before="171"/>
        <w:ind w:left="137" w:right="110" w:firstLine="226"/>
        <w:jc w:val="both"/>
      </w:pPr>
      <w:r>
        <w:rPr/>
        <w:t>A</w:t>
      </w:r>
      <w:r>
        <w:rPr>
          <w:spacing w:val="-18"/>
        </w:rPr>
        <w:t> </w:t>
      </w:r>
      <w:r>
        <w:rPr/>
        <w:t>Companhia</w:t>
      </w:r>
      <w:r>
        <w:rPr>
          <w:spacing w:val="-17"/>
        </w:rPr>
        <w:t> </w:t>
      </w:r>
      <w:r>
        <w:rPr/>
        <w:t>possui</w:t>
      </w:r>
      <w:r>
        <w:rPr>
          <w:spacing w:val="-18"/>
        </w:rPr>
        <w:t> </w:t>
      </w:r>
      <w:r>
        <w:rPr/>
        <w:t>partes</w:t>
      </w:r>
      <w:r>
        <w:rPr>
          <w:spacing w:val="-17"/>
        </w:rPr>
        <w:t> </w:t>
      </w:r>
      <w:r>
        <w:rPr/>
        <w:t>relacionadas:</w:t>
      </w:r>
      <w:r>
        <w:rPr>
          <w:spacing w:val="-17"/>
        </w:rPr>
        <w:t> </w:t>
      </w:r>
      <w:r>
        <w:rPr/>
        <w:t>com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União</w:t>
      </w:r>
      <w:r>
        <w:rPr>
          <w:spacing w:val="-18"/>
        </w:rPr>
        <w:t> </w:t>
      </w:r>
      <w:r>
        <w:rPr/>
        <w:t>e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pessoal</w:t>
      </w:r>
      <w:r>
        <w:rPr>
          <w:spacing w:val="-17"/>
        </w:rPr>
        <w:t> </w:t>
      </w:r>
      <w:r>
        <w:rPr/>
        <w:t>chave</w:t>
      </w:r>
      <w:r>
        <w:rPr>
          <w:spacing w:val="-18"/>
        </w:rPr>
        <w:t> </w:t>
      </w:r>
      <w:r>
        <w:rPr/>
        <w:t>da</w:t>
      </w:r>
      <w:r>
        <w:rPr>
          <w:spacing w:val="-16"/>
        </w:rPr>
        <w:t> </w:t>
      </w:r>
      <w:r>
        <w:rPr/>
        <w:t>Administração. As Partes Relacionadas enquadram-se nesse conceito a transferência de recursos, serviços ou obrigações entre partes relacionadas, independentemente de haver ou não um valor alocado à transação. As transações com partes relacionadas são realizadas pela Hemobrás,</w:t>
      </w:r>
      <w:r>
        <w:rPr>
          <w:spacing w:val="-33"/>
        </w:rPr>
        <w:t> </w:t>
      </w:r>
      <w:r>
        <w:rPr/>
        <w:t>observando-se os preços e condições usuais de mercado e, portanto, não geram qualquer benefício indevido às suas contrapartes ou prejuízos à</w:t>
      </w:r>
      <w:r>
        <w:rPr>
          <w:spacing w:val="-3"/>
        </w:rPr>
        <w:t> </w:t>
      </w:r>
      <w:r>
        <w:rPr/>
        <w:t>Companhia.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0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Receita de Contrato com</w:t>
      </w:r>
      <w:r>
        <w:rPr>
          <w:b w:val="0"/>
          <w:color w:val="7C7B7B"/>
          <w:spacing w:val="-6"/>
        </w:rPr>
        <w:t> </w:t>
      </w:r>
      <w:r>
        <w:rPr>
          <w:b w:val="0"/>
          <w:color w:val="7C7B7B"/>
        </w:rPr>
        <w:t>Cliente</w:t>
      </w:r>
    </w:p>
    <w:p>
      <w:pPr>
        <w:pStyle w:val="BodyText"/>
        <w:spacing w:line="247" w:lineRule="auto" w:before="171"/>
        <w:ind w:left="137" w:right="112" w:firstLine="226"/>
        <w:jc w:val="both"/>
      </w:pPr>
      <w:r>
        <w:rPr/>
        <w:t>O CPC 47 – Receita de Contrato com Cliente estabeleceu que o reconhecimento de receita</w:t>
      </w:r>
      <w:r>
        <w:rPr>
          <w:spacing w:val="-33"/>
        </w:rPr>
        <w:t> </w:t>
      </w:r>
      <w:r>
        <w:rPr/>
        <w:t>seja feito de modo a retratar a transferência de bens ou serviços para o cliente por um montante que reflita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expectativa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Companhia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ter</w:t>
      </w:r>
      <w:r>
        <w:rPr>
          <w:spacing w:val="-11"/>
        </w:rPr>
        <w:t> </w:t>
      </w:r>
      <w:r>
        <w:rPr/>
        <w:t>em</w:t>
      </w:r>
      <w:r>
        <w:rPr>
          <w:spacing w:val="-12"/>
        </w:rPr>
        <w:t> </w:t>
      </w:r>
      <w:r>
        <w:rPr/>
        <w:t>troca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direitos</w:t>
      </w:r>
      <w:r>
        <w:rPr>
          <w:spacing w:val="-11"/>
        </w:rPr>
        <w:t> </w:t>
      </w:r>
      <w:r>
        <w:rPr/>
        <w:t>desses</w:t>
      </w:r>
      <w:r>
        <w:rPr>
          <w:spacing w:val="-12"/>
        </w:rPr>
        <w:t> </w:t>
      </w:r>
      <w:r>
        <w:rPr/>
        <w:t>bens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serviços.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caso</w:t>
      </w:r>
      <w:r>
        <w:rPr>
          <w:spacing w:val="-12"/>
        </w:rPr>
        <w:t> </w:t>
      </w:r>
      <w:r>
        <w:rPr/>
        <w:t>da </w:t>
      </w:r>
      <w:r>
        <w:rPr>
          <w:spacing w:val="-3"/>
        </w:rPr>
        <w:t>Hemobrás,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obrigação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desempenho</w:t>
      </w:r>
      <w:r>
        <w:rPr>
          <w:spacing w:val="-29"/>
        </w:rPr>
        <w:t> </w:t>
      </w:r>
      <w:r>
        <w:rPr/>
        <w:t>está</w:t>
      </w:r>
      <w:r>
        <w:rPr>
          <w:spacing w:val="-29"/>
        </w:rPr>
        <w:t> </w:t>
      </w:r>
      <w:r>
        <w:rPr>
          <w:spacing w:val="-3"/>
        </w:rPr>
        <w:t>prevista</w:t>
      </w:r>
      <w:r>
        <w:rPr>
          <w:spacing w:val="-29"/>
        </w:rPr>
        <w:t> </w:t>
      </w:r>
      <w:r>
        <w:rPr/>
        <w:t>no</w:t>
      </w:r>
      <w:r>
        <w:rPr>
          <w:spacing w:val="-28"/>
        </w:rPr>
        <w:t> </w:t>
      </w:r>
      <w:r>
        <w:rPr>
          <w:spacing w:val="-3"/>
        </w:rPr>
        <w:t>contrato</w:t>
      </w:r>
      <w:r>
        <w:rPr>
          <w:spacing w:val="-29"/>
        </w:rPr>
        <w:t> </w:t>
      </w:r>
      <w:r>
        <w:rPr/>
        <w:t>assinado</w:t>
      </w:r>
      <w:r>
        <w:rPr>
          <w:spacing w:val="-29"/>
        </w:rPr>
        <w:t> </w:t>
      </w:r>
      <w:r>
        <w:rPr/>
        <w:t>com</w:t>
      </w:r>
      <w:r>
        <w:rPr>
          <w:spacing w:val="-29"/>
        </w:rPr>
        <w:t> </w:t>
      </w:r>
      <w:r>
        <w:rPr/>
        <w:t>o</w:t>
      </w:r>
      <w:r>
        <w:rPr>
          <w:spacing w:val="-28"/>
        </w:rPr>
        <w:t> </w:t>
      </w:r>
      <w:r>
        <w:rPr/>
        <w:t>Ministério</w:t>
      </w:r>
      <w:r>
        <w:rPr>
          <w:spacing w:val="-29"/>
        </w:rPr>
        <w:t> </w:t>
      </w:r>
      <w:r>
        <w:rPr/>
        <w:t>da</w:t>
      </w:r>
      <w:r>
        <w:rPr>
          <w:spacing w:val="-29"/>
        </w:rPr>
        <w:t> </w:t>
      </w:r>
      <w:r>
        <w:rPr/>
        <w:t>Saúde que prevê a aquisição de medicamentos recombinantes. A receita foi reconhecida integralmente em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específica</w:t>
      </w:r>
      <w:r>
        <w:rPr>
          <w:spacing w:val="-10"/>
        </w:rPr>
        <w:t> </w:t>
      </w:r>
      <w:r>
        <w:rPr/>
        <w:t>no</w:t>
      </w:r>
      <w:r>
        <w:rPr>
          <w:spacing w:val="-9"/>
        </w:rPr>
        <w:t> </w:t>
      </w:r>
      <w:r>
        <w:rPr/>
        <w:t>momento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saída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entrega,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qual</w:t>
      </w:r>
      <w:r>
        <w:rPr>
          <w:spacing w:val="-10"/>
        </w:rPr>
        <w:t> </w:t>
      </w:r>
      <w:r>
        <w:rPr/>
        <w:t>houve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transferência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controle do bem para o</w:t>
      </w:r>
      <w:r>
        <w:rPr>
          <w:spacing w:val="-2"/>
        </w:rPr>
        <w:t> </w:t>
      </w:r>
      <w:r>
        <w:rPr/>
        <w:t>cliente.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0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Tributos sobre o</w:t>
      </w:r>
      <w:r>
        <w:rPr>
          <w:b w:val="0"/>
          <w:color w:val="7C7B7B"/>
          <w:spacing w:val="-3"/>
        </w:rPr>
        <w:t> </w:t>
      </w:r>
      <w:r>
        <w:rPr>
          <w:b w:val="0"/>
          <w:color w:val="7C7B7B"/>
        </w:rPr>
        <w:t>Lucro</w:t>
      </w:r>
    </w:p>
    <w:p>
      <w:pPr>
        <w:pStyle w:val="BodyText"/>
        <w:spacing w:line="247" w:lineRule="auto" w:before="171"/>
        <w:ind w:left="137" w:right="115" w:firstLine="226"/>
        <w:jc w:val="both"/>
      </w:pPr>
      <w:r>
        <w:rPr/>
        <w:t>O</w:t>
      </w:r>
      <w:r>
        <w:rPr>
          <w:spacing w:val="-8"/>
        </w:rPr>
        <w:t> </w:t>
      </w:r>
      <w:r>
        <w:rPr/>
        <w:t>CPC</w:t>
      </w:r>
      <w:r>
        <w:rPr>
          <w:spacing w:val="-8"/>
        </w:rPr>
        <w:t> </w:t>
      </w:r>
      <w:r>
        <w:rPr/>
        <w:t>32</w:t>
      </w:r>
      <w:r>
        <w:rPr>
          <w:spacing w:val="-8"/>
        </w:rPr>
        <w:t> </w:t>
      </w:r>
      <w:r>
        <w:rPr/>
        <w:t>–</w:t>
      </w:r>
      <w:r>
        <w:rPr>
          <w:spacing w:val="-11"/>
        </w:rPr>
        <w:t> </w:t>
      </w:r>
      <w:r>
        <w:rPr>
          <w:spacing w:val="-2"/>
        </w:rPr>
        <w:t>Tributos</w:t>
      </w:r>
      <w:r>
        <w:rPr>
          <w:spacing w:val="-8"/>
        </w:rPr>
        <w:t> </w:t>
      </w:r>
      <w:r>
        <w:rPr/>
        <w:t>sobre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Lucro</w:t>
      </w:r>
      <w:r>
        <w:rPr>
          <w:spacing w:val="-8"/>
        </w:rPr>
        <w:t> </w:t>
      </w:r>
      <w:r>
        <w:rPr/>
        <w:t>estabeleceu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aplicar</w:t>
      </w:r>
      <w:r>
        <w:rPr>
          <w:spacing w:val="-8"/>
        </w:rPr>
        <w:t> </w:t>
      </w:r>
      <w:r>
        <w:rPr/>
        <w:t>os</w:t>
      </w:r>
      <w:r>
        <w:rPr>
          <w:spacing w:val="-7"/>
        </w:rPr>
        <w:t> </w:t>
      </w:r>
      <w:r>
        <w:rPr/>
        <w:t>requisitos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reconhecimento</w:t>
      </w:r>
      <w:r>
        <w:rPr>
          <w:spacing w:val="-7"/>
        </w:rPr>
        <w:t> </w:t>
      </w:r>
      <w:r>
        <w:rPr/>
        <w:t>e </w:t>
      </w:r>
      <w:r>
        <w:rPr>
          <w:spacing w:val="-4"/>
        </w:rPr>
        <w:t>mensuração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quando</w:t>
      </w:r>
      <w:r>
        <w:rPr>
          <w:spacing w:val="-27"/>
        </w:rPr>
        <w:t> </w:t>
      </w:r>
      <w:r>
        <w:rPr/>
        <w:t>há</w:t>
      </w:r>
      <w:r>
        <w:rPr>
          <w:spacing w:val="-26"/>
        </w:rPr>
        <w:t> </w:t>
      </w:r>
      <w:r>
        <w:rPr>
          <w:spacing w:val="-3"/>
        </w:rPr>
        <w:t>incerteza</w:t>
      </w:r>
      <w:r>
        <w:rPr>
          <w:spacing w:val="-27"/>
        </w:rPr>
        <w:t> </w:t>
      </w:r>
      <w:r>
        <w:rPr>
          <w:spacing w:val="-3"/>
        </w:rPr>
        <w:t>sobre</w:t>
      </w:r>
      <w:r>
        <w:rPr>
          <w:spacing w:val="-26"/>
        </w:rPr>
        <w:t> </w:t>
      </w:r>
      <w:r>
        <w:rPr/>
        <w:t>os</w:t>
      </w:r>
      <w:r>
        <w:rPr>
          <w:spacing w:val="-27"/>
        </w:rPr>
        <w:t> </w:t>
      </w:r>
      <w:r>
        <w:rPr>
          <w:spacing w:val="-4"/>
        </w:rPr>
        <w:t>tratamentos</w:t>
      </w:r>
      <w:r>
        <w:rPr>
          <w:spacing w:val="-26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tributos</w:t>
      </w:r>
      <w:r>
        <w:rPr>
          <w:spacing w:val="-26"/>
        </w:rPr>
        <w:t> </w:t>
      </w:r>
      <w:r>
        <w:rPr>
          <w:spacing w:val="-3"/>
        </w:rPr>
        <w:t>sobre</w:t>
      </w:r>
      <w:r>
        <w:rPr>
          <w:spacing w:val="-26"/>
        </w:rPr>
        <w:t> </w:t>
      </w:r>
      <w:r>
        <w:rPr/>
        <w:t>o</w:t>
      </w:r>
      <w:r>
        <w:rPr>
          <w:spacing w:val="-27"/>
        </w:rPr>
        <w:t> </w:t>
      </w:r>
      <w:r>
        <w:rPr>
          <w:spacing w:val="-3"/>
        </w:rPr>
        <w:t>lucro,</w:t>
      </w:r>
      <w:r>
        <w:rPr>
          <w:spacing w:val="-26"/>
        </w:rPr>
        <w:t> </w:t>
      </w:r>
      <w:r>
        <w:rPr/>
        <w:t>no</w:t>
      </w:r>
      <w:r>
        <w:rPr>
          <w:spacing w:val="-27"/>
        </w:rPr>
        <w:t> </w:t>
      </w:r>
      <w:r>
        <w:rPr>
          <w:spacing w:val="-4"/>
        </w:rPr>
        <w:t>reconhecimento </w:t>
      </w:r>
      <w:r>
        <w:rPr/>
        <w:t>e na mensuração de seu tributo corrente ou diferido, com base no lucro</w:t>
      </w:r>
      <w:r>
        <w:rPr>
          <w:spacing w:val="-15"/>
        </w:rPr>
        <w:t> </w:t>
      </w:r>
      <w:r>
        <w:rPr/>
        <w:t>tributável.</w:t>
      </w:r>
    </w:p>
    <w:p>
      <w:pPr>
        <w:pStyle w:val="BodyText"/>
        <w:spacing w:line="247" w:lineRule="auto" w:before="143"/>
        <w:ind w:left="137" w:right="115" w:firstLine="226"/>
        <w:jc w:val="both"/>
      </w:pPr>
      <w:r>
        <w:rPr/>
        <w:t>As interpretações apresentadas consideram que a Hemobrás deve utilizar em seu julgamento o</w:t>
      </w:r>
      <w:r>
        <w:rPr>
          <w:spacing w:val="-4"/>
        </w:rPr>
        <w:t> </w:t>
      </w:r>
      <w:r>
        <w:rPr/>
        <w:t>estabelecido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CPC</w:t>
      </w:r>
      <w:r>
        <w:rPr>
          <w:spacing w:val="-3"/>
        </w:rPr>
        <w:t> </w:t>
      </w:r>
      <w:r>
        <w:rPr/>
        <w:t>32.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2019,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Hemobrás</w:t>
      </w:r>
      <w:r>
        <w:rPr>
          <w:spacing w:val="-3"/>
        </w:rPr>
        <w:t> </w:t>
      </w:r>
      <w:r>
        <w:rPr/>
        <w:t>concluiu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não</w:t>
      </w:r>
      <w:r>
        <w:rPr>
          <w:spacing w:val="-3"/>
        </w:rPr>
        <w:t> </w:t>
      </w:r>
      <w:r>
        <w:rPr/>
        <w:t>há</w:t>
      </w:r>
      <w:r>
        <w:rPr>
          <w:spacing w:val="-3"/>
        </w:rPr>
        <w:t> </w:t>
      </w:r>
      <w:r>
        <w:rPr/>
        <w:t>contabilização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posições incertas sobre os tributos sobre o</w:t>
      </w:r>
      <w:r>
        <w:rPr>
          <w:spacing w:val="-4"/>
        </w:rPr>
        <w:t> </w:t>
      </w:r>
      <w:r>
        <w:rPr/>
        <w:t>lucro.</w:t>
      </w:r>
    </w:p>
    <w:p>
      <w:pPr>
        <w:spacing w:after="0" w:line="247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63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Demonstração do Valor Adicionado –</w:t>
      </w:r>
      <w:r>
        <w:rPr>
          <w:b w:val="0"/>
          <w:color w:val="7C7B7B"/>
          <w:spacing w:val="-5"/>
        </w:rPr>
        <w:t> </w:t>
      </w:r>
      <w:r>
        <w:rPr>
          <w:b w:val="0"/>
          <w:color w:val="7C7B7B"/>
          <w:spacing w:val="-4"/>
        </w:rPr>
        <w:t>DVA</w:t>
      </w:r>
    </w:p>
    <w:p>
      <w:pPr>
        <w:pStyle w:val="BodyText"/>
        <w:spacing w:line="247" w:lineRule="auto" w:before="171"/>
        <w:ind w:left="137" w:right="115" w:firstLine="226"/>
        <w:jc w:val="both"/>
      </w:pPr>
      <w:r>
        <w:rPr/>
        <w:t>A</w:t>
      </w:r>
      <w:r>
        <w:rPr>
          <w:spacing w:val="-27"/>
        </w:rPr>
        <w:t> </w:t>
      </w:r>
      <w:r>
        <w:rPr>
          <w:spacing w:val="-4"/>
        </w:rPr>
        <w:t>Hemobrás</w:t>
      </w:r>
      <w:r>
        <w:rPr>
          <w:spacing w:val="-27"/>
        </w:rPr>
        <w:t> </w:t>
      </w:r>
      <w:r>
        <w:rPr>
          <w:spacing w:val="-3"/>
        </w:rPr>
        <w:t>elaborou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>
          <w:spacing w:val="-4"/>
        </w:rPr>
        <w:t>Demonstrações</w:t>
      </w:r>
      <w:r>
        <w:rPr>
          <w:spacing w:val="-27"/>
        </w:rPr>
        <w:t> </w:t>
      </w:r>
      <w:r>
        <w:rPr/>
        <w:t>do</w:t>
      </w:r>
      <w:r>
        <w:rPr>
          <w:spacing w:val="-26"/>
        </w:rPr>
        <w:t> </w:t>
      </w:r>
      <w:r>
        <w:rPr>
          <w:spacing w:val="-4"/>
        </w:rPr>
        <w:t>Valor</w:t>
      </w:r>
      <w:r>
        <w:rPr>
          <w:spacing w:val="-27"/>
        </w:rPr>
        <w:t> </w:t>
      </w:r>
      <w:r>
        <w:rPr>
          <w:spacing w:val="-3"/>
        </w:rPr>
        <w:t>Adicionado</w:t>
      </w:r>
      <w:r>
        <w:rPr>
          <w:spacing w:val="-27"/>
        </w:rPr>
        <w:t> </w:t>
      </w:r>
      <w:r>
        <w:rPr/>
        <w:t>–</w:t>
      </w:r>
      <w:r>
        <w:rPr>
          <w:spacing w:val="-27"/>
        </w:rPr>
        <w:t> </w:t>
      </w:r>
      <w:r>
        <w:rPr>
          <w:spacing w:val="-6"/>
        </w:rPr>
        <w:t>DVA</w:t>
      </w:r>
      <w:r>
        <w:rPr>
          <w:spacing w:val="-27"/>
        </w:rPr>
        <w:t> </w:t>
      </w:r>
      <w:r>
        <w:rPr/>
        <w:t>nos</w:t>
      </w:r>
      <w:r>
        <w:rPr>
          <w:spacing w:val="-26"/>
        </w:rPr>
        <w:t> </w:t>
      </w:r>
      <w:r>
        <w:rPr>
          <w:spacing w:val="-3"/>
        </w:rPr>
        <w:t>termos</w:t>
      </w:r>
      <w:r>
        <w:rPr>
          <w:spacing w:val="-27"/>
        </w:rPr>
        <w:t> </w:t>
      </w:r>
      <w:r>
        <w:rPr/>
        <w:t>do</w:t>
      </w:r>
      <w:r>
        <w:rPr>
          <w:spacing w:val="-27"/>
        </w:rPr>
        <w:t> </w:t>
      </w:r>
      <w:r>
        <w:rPr>
          <w:spacing w:val="-4"/>
        </w:rPr>
        <w:t>pronunciamento </w:t>
      </w:r>
      <w:r>
        <w:rPr/>
        <w:t>técnico</w:t>
      </w:r>
      <w:r>
        <w:rPr>
          <w:spacing w:val="-23"/>
        </w:rPr>
        <w:t> </w:t>
      </w:r>
      <w:r>
        <w:rPr/>
        <w:t>CPC</w:t>
      </w:r>
      <w:r>
        <w:rPr>
          <w:spacing w:val="-23"/>
        </w:rPr>
        <w:t> </w:t>
      </w:r>
      <w:r>
        <w:rPr/>
        <w:t>09</w:t>
      </w:r>
      <w:r>
        <w:rPr>
          <w:spacing w:val="-22"/>
        </w:rPr>
        <w:t> </w:t>
      </w:r>
      <w:r>
        <w:rPr/>
        <w:t>–</w:t>
      </w:r>
      <w:r>
        <w:rPr>
          <w:spacing w:val="-23"/>
        </w:rPr>
        <w:t> </w:t>
      </w:r>
      <w:r>
        <w:rPr/>
        <w:t>Demonstração</w:t>
      </w:r>
      <w:r>
        <w:rPr>
          <w:spacing w:val="-21"/>
        </w:rPr>
        <w:t> </w:t>
      </w:r>
      <w:r>
        <w:rPr/>
        <w:t>do</w:t>
      </w:r>
      <w:r>
        <w:rPr>
          <w:spacing w:val="-22"/>
        </w:rPr>
        <w:t> </w:t>
      </w:r>
      <w:r>
        <w:rPr/>
        <w:t>Valor</w:t>
      </w:r>
      <w:r>
        <w:rPr>
          <w:spacing w:val="-23"/>
        </w:rPr>
        <w:t> </w:t>
      </w:r>
      <w:r>
        <w:rPr/>
        <w:t>Adicionado.</w:t>
      </w:r>
      <w:r>
        <w:rPr>
          <w:spacing w:val="-21"/>
        </w:rPr>
        <w:t> </w:t>
      </w:r>
      <w:r>
        <w:rPr/>
        <w:t>O</w:t>
      </w:r>
      <w:r>
        <w:rPr>
          <w:spacing w:val="-23"/>
        </w:rPr>
        <w:t> </w:t>
      </w:r>
      <w:r>
        <w:rPr/>
        <w:t>International</w:t>
      </w:r>
      <w:r>
        <w:rPr>
          <w:spacing w:val="-22"/>
        </w:rPr>
        <w:t> </w:t>
      </w:r>
      <w:r>
        <w:rPr/>
        <w:t>Financial</w:t>
      </w:r>
      <w:r>
        <w:rPr>
          <w:spacing w:val="-23"/>
        </w:rPr>
        <w:t> </w:t>
      </w:r>
      <w:r>
        <w:rPr/>
        <w:t>Reporting</w:t>
      </w:r>
      <w:r>
        <w:rPr>
          <w:spacing w:val="-22"/>
        </w:rPr>
        <w:t> </w:t>
      </w:r>
      <w:r>
        <w:rPr/>
        <w:t>Standards</w:t>
      </w:r>
    </w:p>
    <w:p>
      <w:pPr>
        <w:pStyle w:val="ListParagraph"/>
        <w:numPr>
          <w:ilvl w:val="0"/>
          <w:numId w:val="2"/>
        </w:numPr>
        <w:tabs>
          <w:tab w:pos="315" w:val="left" w:leader="none"/>
        </w:tabs>
        <w:spacing w:line="247" w:lineRule="auto" w:before="1" w:after="0"/>
        <w:ind w:left="137" w:right="117" w:firstLine="0"/>
        <w:jc w:val="left"/>
        <w:rPr>
          <w:rFonts w:ascii="RobotoRegular" w:hAnsi="RobotoRegular"/>
          <w:sz w:val="21"/>
        </w:rPr>
      </w:pPr>
      <w:r>
        <w:rPr>
          <w:rFonts w:ascii="RobotoRegular" w:hAnsi="RobotoRegular"/>
          <w:sz w:val="21"/>
        </w:rPr>
        <w:t>IFRS</w:t>
      </w:r>
      <w:r>
        <w:rPr>
          <w:rFonts w:ascii="RobotoRegular" w:hAnsi="RobotoRegular"/>
          <w:spacing w:val="-20"/>
          <w:sz w:val="21"/>
        </w:rPr>
        <w:t> </w:t>
      </w:r>
      <w:r>
        <w:rPr>
          <w:rFonts w:ascii="RobotoRegular" w:hAnsi="RobotoRegular"/>
          <w:sz w:val="21"/>
        </w:rPr>
        <w:t>não</w:t>
      </w:r>
      <w:r>
        <w:rPr>
          <w:rFonts w:ascii="RobotoRegular" w:hAnsi="RobotoRegular"/>
          <w:spacing w:val="-19"/>
          <w:sz w:val="21"/>
        </w:rPr>
        <w:t> </w:t>
      </w:r>
      <w:r>
        <w:rPr>
          <w:rFonts w:ascii="RobotoRegular" w:hAnsi="RobotoRegular"/>
          <w:sz w:val="21"/>
        </w:rPr>
        <w:t>exige</w:t>
      </w:r>
      <w:r>
        <w:rPr>
          <w:rFonts w:ascii="RobotoRegular" w:hAnsi="RobotoRegular"/>
          <w:spacing w:val="-20"/>
          <w:sz w:val="21"/>
        </w:rPr>
        <w:t> </w:t>
      </w:r>
      <w:r>
        <w:rPr>
          <w:rFonts w:ascii="RobotoRegular" w:hAnsi="RobotoRegular"/>
          <w:sz w:val="21"/>
        </w:rPr>
        <w:t>a</w:t>
      </w:r>
      <w:r>
        <w:rPr>
          <w:rFonts w:ascii="RobotoRegular" w:hAnsi="RobotoRegular"/>
          <w:spacing w:val="-19"/>
          <w:sz w:val="21"/>
        </w:rPr>
        <w:t> </w:t>
      </w:r>
      <w:r>
        <w:rPr>
          <w:rFonts w:ascii="RobotoRegular" w:hAnsi="RobotoRegular"/>
          <w:sz w:val="21"/>
        </w:rPr>
        <w:t>apresentação</w:t>
      </w:r>
      <w:r>
        <w:rPr>
          <w:rFonts w:ascii="RobotoRegular" w:hAnsi="RobotoRegular"/>
          <w:spacing w:val="-19"/>
          <w:sz w:val="21"/>
        </w:rPr>
        <w:t> </w:t>
      </w:r>
      <w:r>
        <w:rPr>
          <w:rFonts w:ascii="RobotoRegular" w:hAnsi="RobotoRegular"/>
          <w:sz w:val="21"/>
        </w:rPr>
        <w:t>dessa</w:t>
      </w:r>
      <w:r>
        <w:rPr>
          <w:rFonts w:ascii="RobotoRegular" w:hAnsi="RobotoRegular"/>
          <w:spacing w:val="-20"/>
          <w:sz w:val="21"/>
        </w:rPr>
        <w:t> </w:t>
      </w:r>
      <w:r>
        <w:rPr>
          <w:rFonts w:ascii="RobotoRegular" w:hAnsi="RobotoRegular"/>
          <w:sz w:val="21"/>
        </w:rPr>
        <w:t>demonstração,</w:t>
      </w:r>
      <w:r>
        <w:rPr>
          <w:rFonts w:ascii="RobotoRegular" w:hAnsi="RobotoRegular"/>
          <w:spacing w:val="-19"/>
          <w:sz w:val="21"/>
        </w:rPr>
        <w:t> </w:t>
      </w:r>
      <w:r>
        <w:rPr>
          <w:rFonts w:ascii="RobotoRegular" w:hAnsi="RobotoRegular"/>
          <w:sz w:val="21"/>
        </w:rPr>
        <w:t>mas</w:t>
      </w:r>
      <w:r>
        <w:rPr>
          <w:rFonts w:ascii="RobotoRegular" w:hAnsi="RobotoRegular"/>
          <w:spacing w:val="-20"/>
          <w:sz w:val="21"/>
        </w:rPr>
        <w:t> </w:t>
      </w:r>
      <w:r>
        <w:rPr>
          <w:rFonts w:ascii="RobotoRegular" w:hAnsi="RobotoRegular"/>
          <w:sz w:val="21"/>
        </w:rPr>
        <w:t>ela</w:t>
      </w:r>
      <w:r>
        <w:rPr>
          <w:rFonts w:ascii="RobotoRegular" w:hAnsi="RobotoRegular"/>
          <w:spacing w:val="-19"/>
          <w:sz w:val="21"/>
        </w:rPr>
        <w:t> </w:t>
      </w:r>
      <w:r>
        <w:rPr>
          <w:rFonts w:ascii="RobotoRegular" w:hAnsi="RobotoRegular"/>
          <w:sz w:val="21"/>
        </w:rPr>
        <w:t>é</w:t>
      </w:r>
      <w:r>
        <w:rPr>
          <w:rFonts w:ascii="RobotoRegular" w:hAnsi="RobotoRegular"/>
          <w:spacing w:val="-19"/>
          <w:sz w:val="21"/>
        </w:rPr>
        <w:t> </w:t>
      </w:r>
      <w:r>
        <w:rPr>
          <w:rFonts w:ascii="RobotoRegular" w:hAnsi="RobotoRegular"/>
          <w:sz w:val="21"/>
        </w:rPr>
        <w:t>apresentada</w:t>
      </w:r>
      <w:r>
        <w:rPr>
          <w:rFonts w:ascii="RobotoRegular" w:hAnsi="RobotoRegular"/>
          <w:spacing w:val="-20"/>
          <w:sz w:val="21"/>
        </w:rPr>
        <w:t> </w:t>
      </w:r>
      <w:r>
        <w:rPr>
          <w:rFonts w:ascii="RobotoRegular" w:hAnsi="RobotoRegular"/>
          <w:sz w:val="21"/>
        </w:rPr>
        <w:t>como</w:t>
      </w:r>
      <w:r>
        <w:rPr>
          <w:rFonts w:ascii="RobotoRegular" w:hAnsi="RobotoRegular"/>
          <w:spacing w:val="-19"/>
          <w:sz w:val="21"/>
        </w:rPr>
        <w:t> </w:t>
      </w:r>
      <w:r>
        <w:rPr>
          <w:rFonts w:ascii="RobotoRegular" w:hAnsi="RobotoRegular"/>
          <w:sz w:val="21"/>
        </w:rPr>
        <w:t>parte</w:t>
      </w:r>
      <w:r>
        <w:rPr>
          <w:rFonts w:ascii="RobotoRegular" w:hAnsi="RobotoRegular"/>
          <w:spacing w:val="-19"/>
          <w:sz w:val="21"/>
        </w:rPr>
        <w:t> </w:t>
      </w:r>
      <w:r>
        <w:rPr>
          <w:rFonts w:ascii="RobotoRegular" w:hAnsi="RobotoRegular"/>
          <w:sz w:val="21"/>
        </w:rPr>
        <w:t>adicional desta Companhia.</w:t>
      </w:r>
    </w:p>
    <w:p>
      <w:pPr>
        <w:pStyle w:val="BodyText"/>
        <w:spacing w:line="247" w:lineRule="auto" w:before="143"/>
        <w:ind w:left="137" w:right="114" w:firstLine="226"/>
        <w:jc w:val="both"/>
      </w:pPr>
      <w:r>
        <w:rPr/>
        <w:t>Essas</w:t>
      </w:r>
      <w:r>
        <w:rPr>
          <w:spacing w:val="-15"/>
        </w:rPr>
        <w:t> </w:t>
      </w:r>
      <w:r>
        <w:rPr/>
        <w:t>demonstrações</w:t>
      </w:r>
      <w:r>
        <w:rPr>
          <w:spacing w:val="-15"/>
        </w:rPr>
        <w:t> </w:t>
      </w:r>
      <w:r>
        <w:rPr/>
        <w:t>têm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objetivo</w:t>
      </w:r>
      <w:r>
        <w:rPr>
          <w:spacing w:val="-15"/>
        </w:rPr>
        <w:t> </w:t>
      </w:r>
      <w:r>
        <w:rPr/>
        <w:t>apresentar</w:t>
      </w:r>
      <w:r>
        <w:rPr>
          <w:spacing w:val="-15"/>
        </w:rPr>
        <w:t> </w:t>
      </w:r>
      <w:r>
        <w:rPr/>
        <w:t>informações</w:t>
      </w:r>
      <w:r>
        <w:rPr>
          <w:spacing w:val="-14"/>
        </w:rPr>
        <w:t> </w:t>
      </w:r>
      <w:r>
        <w:rPr/>
        <w:t>relativas</w:t>
      </w:r>
      <w:r>
        <w:rPr>
          <w:spacing w:val="-15"/>
        </w:rPr>
        <w:t> </w:t>
      </w:r>
      <w:r>
        <w:rPr/>
        <w:t>à</w:t>
      </w:r>
      <w:r>
        <w:rPr>
          <w:spacing w:val="-15"/>
        </w:rPr>
        <w:t> </w:t>
      </w:r>
      <w:r>
        <w:rPr/>
        <w:t>riqueza</w:t>
      </w:r>
      <w:r>
        <w:rPr>
          <w:spacing w:val="-15"/>
        </w:rPr>
        <w:t> </w:t>
      </w:r>
      <w:r>
        <w:rPr/>
        <w:t>criada</w:t>
      </w:r>
      <w:r>
        <w:rPr>
          <w:spacing w:val="-15"/>
        </w:rPr>
        <w:t> </w:t>
      </w:r>
      <w:r>
        <w:rPr/>
        <w:t>pela Companhia e à forma como tais riquezas foram</w:t>
      </w:r>
      <w:r>
        <w:rPr>
          <w:spacing w:val="-5"/>
        </w:rPr>
        <w:t> </w:t>
      </w:r>
      <w:r>
        <w:rPr/>
        <w:t>distribuídas.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0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Moeda</w:t>
      </w:r>
      <w:r>
        <w:rPr>
          <w:b w:val="0"/>
          <w:color w:val="7C7B7B"/>
          <w:spacing w:val="-1"/>
        </w:rPr>
        <w:t> </w:t>
      </w:r>
      <w:r>
        <w:rPr>
          <w:b w:val="0"/>
          <w:color w:val="7C7B7B"/>
        </w:rPr>
        <w:t>Estrangeira</w:t>
      </w:r>
    </w:p>
    <w:p>
      <w:pPr>
        <w:pStyle w:val="BodyText"/>
        <w:spacing w:line="247" w:lineRule="auto" w:before="171"/>
        <w:ind w:left="137" w:right="112" w:firstLine="226"/>
        <w:jc w:val="both"/>
      </w:pPr>
      <w:r>
        <w:rPr/>
        <w:t>A Administração da Companhia adotou o real como sua moeda funcional, de acordo </w:t>
      </w:r>
      <w:r>
        <w:rPr>
          <w:spacing w:val="2"/>
        </w:rPr>
        <w:t>com    </w:t>
      </w:r>
      <w:r>
        <w:rPr>
          <w:spacing w:val="55"/>
        </w:rPr>
        <w:t> </w:t>
      </w:r>
      <w:r>
        <w:rPr/>
        <w:t>as normas descritas no CPC 02 – Efeitos nas Mudanças nas </w:t>
      </w:r>
      <w:r>
        <w:rPr>
          <w:spacing w:val="-3"/>
        </w:rPr>
        <w:t>Taxas </w:t>
      </w:r>
      <w:r>
        <w:rPr/>
        <w:t>de Câmbio e Conversão de Demonstrações</w:t>
      </w:r>
      <w:r>
        <w:rPr>
          <w:spacing w:val="-21"/>
        </w:rPr>
        <w:t> </w:t>
      </w:r>
      <w:r>
        <w:rPr/>
        <w:t>Contábeis.</w:t>
      </w:r>
      <w:r>
        <w:rPr>
          <w:spacing w:val="-24"/>
        </w:rPr>
        <w:t> </w:t>
      </w:r>
      <w:r>
        <w:rPr/>
        <w:t>Transações</w:t>
      </w:r>
      <w:r>
        <w:rPr>
          <w:spacing w:val="-21"/>
        </w:rPr>
        <w:t> </w:t>
      </w:r>
      <w:r>
        <w:rPr/>
        <w:t>em</w:t>
      </w:r>
      <w:r>
        <w:rPr>
          <w:spacing w:val="-21"/>
        </w:rPr>
        <w:t> </w:t>
      </w:r>
      <w:r>
        <w:rPr/>
        <w:t>moeda</w:t>
      </w:r>
      <w:r>
        <w:rPr>
          <w:spacing w:val="-21"/>
        </w:rPr>
        <w:t> </w:t>
      </w:r>
      <w:r>
        <w:rPr/>
        <w:t>estrangeira,</w:t>
      </w:r>
      <w:r>
        <w:rPr>
          <w:spacing w:val="-20"/>
        </w:rPr>
        <w:t> </w:t>
      </w:r>
      <w:r>
        <w:rPr/>
        <w:t>isto</w:t>
      </w:r>
      <w:r>
        <w:rPr>
          <w:spacing w:val="-21"/>
        </w:rPr>
        <w:t> </w:t>
      </w:r>
      <w:r>
        <w:rPr/>
        <w:t>é,</w:t>
      </w:r>
      <w:r>
        <w:rPr>
          <w:spacing w:val="-21"/>
        </w:rPr>
        <w:t> </w:t>
      </w:r>
      <w:r>
        <w:rPr/>
        <w:t>todas</w:t>
      </w:r>
      <w:r>
        <w:rPr>
          <w:spacing w:val="-21"/>
        </w:rPr>
        <w:t> </w:t>
      </w:r>
      <w:r>
        <w:rPr/>
        <w:t>aquelas</w:t>
      </w:r>
      <w:r>
        <w:rPr>
          <w:spacing w:val="-20"/>
        </w:rPr>
        <w:t> </w:t>
      </w:r>
      <w:r>
        <w:rPr/>
        <w:t>não</w:t>
      </w:r>
      <w:r>
        <w:rPr>
          <w:spacing w:val="-21"/>
        </w:rPr>
        <w:t> </w:t>
      </w:r>
      <w:r>
        <w:rPr/>
        <w:t>realizadas na moeda funcional, são convertidas pela taxa de câmbio da data de cada</w:t>
      </w:r>
      <w:r>
        <w:rPr>
          <w:spacing w:val="-14"/>
        </w:rPr>
        <w:t> </w:t>
      </w:r>
      <w:r>
        <w:rPr/>
        <w:t>transação.</w:t>
      </w:r>
    </w:p>
    <w:p>
      <w:pPr>
        <w:pStyle w:val="BodyText"/>
        <w:spacing w:line="247" w:lineRule="auto" w:before="143"/>
        <w:ind w:left="137" w:right="113" w:firstLine="226"/>
        <w:jc w:val="both"/>
      </w:pPr>
      <w:r>
        <w:rPr/>
        <w:t>Ativos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passivos</w:t>
      </w:r>
      <w:r>
        <w:rPr>
          <w:spacing w:val="-24"/>
        </w:rPr>
        <w:t> </w:t>
      </w:r>
      <w:r>
        <w:rPr/>
        <w:t>monetários</w:t>
      </w:r>
      <w:r>
        <w:rPr>
          <w:spacing w:val="-24"/>
        </w:rPr>
        <w:t> </w:t>
      </w:r>
      <w:r>
        <w:rPr/>
        <w:t>em</w:t>
      </w:r>
      <w:r>
        <w:rPr>
          <w:spacing w:val="-24"/>
        </w:rPr>
        <w:t> </w:t>
      </w:r>
      <w:r>
        <w:rPr/>
        <w:t>moeda</w:t>
      </w:r>
      <w:r>
        <w:rPr>
          <w:spacing w:val="-23"/>
        </w:rPr>
        <w:t> </w:t>
      </w:r>
      <w:r>
        <w:rPr/>
        <w:t>estrangeira</w:t>
      </w:r>
      <w:r>
        <w:rPr>
          <w:spacing w:val="-24"/>
        </w:rPr>
        <w:t> </w:t>
      </w:r>
      <w:r>
        <w:rPr/>
        <w:t>são</w:t>
      </w:r>
      <w:r>
        <w:rPr>
          <w:spacing w:val="-24"/>
        </w:rPr>
        <w:t> </w:t>
      </w:r>
      <w:r>
        <w:rPr/>
        <w:t>convertidos</w:t>
      </w:r>
      <w:r>
        <w:rPr>
          <w:spacing w:val="-24"/>
        </w:rPr>
        <w:t> </w:t>
      </w:r>
      <w:r>
        <w:rPr/>
        <w:t>para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moeda</w:t>
      </w:r>
      <w:r>
        <w:rPr>
          <w:spacing w:val="-23"/>
        </w:rPr>
        <w:t> </w:t>
      </w:r>
      <w:r>
        <w:rPr/>
        <w:t>funcional</w:t>
      </w:r>
      <w:r>
        <w:rPr>
          <w:spacing w:val="-24"/>
        </w:rPr>
        <w:t> </w:t>
      </w:r>
      <w:r>
        <w:rPr/>
        <w:t>pela taxa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câmbio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data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fechamento.</w:t>
      </w:r>
      <w:r>
        <w:rPr>
          <w:spacing w:val="-3"/>
        </w:rPr>
        <w:t> </w:t>
      </w:r>
      <w:r>
        <w:rPr/>
        <w:t>Os</w:t>
      </w:r>
      <w:r>
        <w:rPr>
          <w:spacing w:val="-4"/>
        </w:rPr>
        <w:t> </w:t>
      </w:r>
      <w:r>
        <w:rPr/>
        <w:t>ganhos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perdas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variações</w:t>
      </w:r>
      <w:r>
        <w:rPr>
          <w:spacing w:val="-4"/>
        </w:rPr>
        <w:t> </w:t>
      </w:r>
      <w:r>
        <w:rPr/>
        <w:t>nas</w:t>
      </w:r>
      <w:r>
        <w:rPr>
          <w:spacing w:val="-3"/>
        </w:rPr>
        <w:t> </w:t>
      </w:r>
      <w:r>
        <w:rPr/>
        <w:t>taxas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câmbio sobre</w:t>
      </w:r>
      <w:r>
        <w:rPr>
          <w:spacing w:val="-30"/>
        </w:rPr>
        <w:t> </w:t>
      </w:r>
      <w:r>
        <w:rPr/>
        <w:t>os</w:t>
      </w:r>
      <w:r>
        <w:rPr>
          <w:spacing w:val="-29"/>
        </w:rPr>
        <w:t> </w:t>
      </w:r>
      <w:r>
        <w:rPr/>
        <w:t>ativos</w:t>
      </w:r>
      <w:r>
        <w:rPr>
          <w:spacing w:val="-30"/>
        </w:rPr>
        <w:t> </w:t>
      </w:r>
      <w:r>
        <w:rPr/>
        <w:t>e</w:t>
      </w:r>
      <w:r>
        <w:rPr>
          <w:spacing w:val="-29"/>
        </w:rPr>
        <w:t> </w:t>
      </w:r>
      <w:r>
        <w:rPr/>
        <w:t>os</w:t>
      </w:r>
      <w:r>
        <w:rPr>
          <w:spacing w:val="-30"/>
        </w:rPr>
        <w:t> </w:t>
      </w:r>
      <w:r>
        <w:rPr/>
        <w:t>passivos</w:t>
      </w:r>
      <w:r>
        <w:rPr>
          <w:spacing w:val="-29"/>
        </w:rPr>
        <w:t> </w:t>
      </w:r>
      <w:r>
        <w:rPr/>
        <w:t>monetários</w:t>
      </w:r>
      <w:r>
        <w:rPr>
          <w:spacing w:val="-30"/>
        </w:rPr>
        <w:t> </w:t>
      </w:r>
      <w:r>
        <w:rPr/>
        <w:t>são</w:t>
      </w:r>
      <w:r>
        <w:rPr>
          <w:spacing w:val="-29"/>
        </w:rPr>
        <w:t> </w:t>
      </w:r>
      <w:r>
        <w:rPr/>
        <w:t>reconhecidos</w:t>
      </w:r>
      <w:r>
        <w:rPr>
          <w:spacing w:val="-30"/>
        </w:rPr>
        <w:t> </w:t>
      </w:r>
      <w:r>
        <w:rPr/>
        <w:t>nas</w:t>
      </w:r>
      <w:r>
        <w:rPr>
          <w:spacing w:val="-29"/>
        </w:rPr>
        <w:t> </w:t>
      </w:r>
      <w:r>
        <w:rPr>
          <w:spacing w:val="-3"/>
        </w:rPr>
        <w:t>demonstrações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resultados.</w:t>
      </w:r>
      <w:r>
        <w:rPr>
          <w:spacing w:val="-29"/>
        </w:rPr>
        <w:t> </w:t>
      </w:r>
      <w:r>
        <w:rPr>
          <w:spacing w:val="-3"/>
        </w:rPr>
        <w:t>Ativos </w:t>
      </w:r>
      <w:r>
        <w:rPr/>
        <w:t>e</w:t>
      </w:r>
      <w:r>
        <w:rPr>
          <w:spacing w:val="-21"/>
        </w:rPr>
        <w:t> </w:t>
      </w:r>
      <w:r>
        <w:rPr/>
        <w:t>passivos</w:t>
      </w:r>
      <w:r>
        <w:rPr>
          <w:spacing w:val="-20"/>
        </w:rPr>
        <w:t> </w:t>
      </w:r>
      <w:r>
        <w:rPr/>
        <w:t>não</w:t>
      </w:r>
      <w:r>
        <w:rPr>
          <w:spacing w:val="-21"/>
        </w:rPr>
        <w:t> </w:t>
      </w:r>
      <w:r>
        <w:rPr/>
        <w:t>monetários</w:t>
      </w:r>
      <w:r>
        <w:rPr>
          <w:spacing w:val="-20"/>
        </w:rPr>
        <w:t> </w:t>
      </w:r>
      <w:r>
        <w:rPr/>
        <w:t>adquiridos</w:t>
      </w:r>
      <w:r>
        <w:rPr>
          <w:spacing w:val="-20"/>
        </w:rPr>
        <w:t> </w:t>
      </w:r>
      <w:r>
        <w:rPr/>
        <w:t>ou</w:t>
      </w:r>
      <w:r>
        <w:rPr>
          <w:spacing w:val="-21"/>
        </w:rPr>
        <w:t> </w:t>
      </w:r>
      <w:r>
        <w:rPr/>
        <w:t>contratados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/>
        <w:t>moeda</w:t>
      </w:r>
      <w:r>
        <w:rPr>
          <w:spacing w:val="-21"/>
        </w:rPr>
        <w:t> </w:t>
      </w:r>
      <w:r>
        <w:rPr/>
        <w:t>estrangeira,</w:t>
      </w:r>
      <w:r>
        <w:rPr>
          <w:spacing w:val="-20"/>
        </w:rPr>
        <w:t> </w:t>
      </w:r>
      <w:r>
        <w:rPr/>
        <w:t>quando</w:t>
      </w:r>
      <w:r>
        <w:rPr>
          <w:spacing w:val="-20"/>
        </w:rPr>
        <w:t> </w:t>
      </w:r>
      <w:r>
        <w:rPr/>
        <w:t>aplicável,</w:t>
      </w:r>
      <w:r>
        <w:rPr>
          <w:spacing w:val="-21"/>
        </w:rPr>
        <w:t> </w:t>
      </w:r>
      <w:r>
        <w:rPr/>
        <w:t>são convertidos com base nas taxas de câmbio nas datas das transações ou nas datas de avaliação do valor justo, quando este é</w:t>
      </w:r>
      <w:r>
        <w:rPr>
          <w:spacing w:val="-4"/>
        </w:rPr>
        <w:t> </w:t>
      </w:r>
      <w:r>
        <w:rPr/>
        <w:t>utilizado.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1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Aprovação das Demonstrações</w:t>
      </w:r>
      <w:r>
        <w:rPr>
          <w:b w:val="0"/>
          <w:color w:val="7C7B7B"/>
          <w:spacing w:val="-5"/>
        </w:rPr>
        <w:t> </w:t>
      </w:r>
      <w:r>
        <w:rPr>
          <w:b w:val="0"/>
          <w:color w:val="7C7B7B"/>
        </w:rPr>
        <w:t>Contábeis</w:t>
      </w:r>
    </w:p>
    <w:p>
      <w:pPr>
        <w:pStyle w:val="BodyText"/>
        <w:spacing w:before="170"/>
        <w:ind w:left="364"/>
      </w:pPr>
      <w:r>
        <w:rPr/>
        <w:t>Foram aprovadas em 27 de janeiro de 2020, pelo Diretor Administrativo e Financeiro, as</w:t>
      </w:r>
    </w:p>
    <w:p>
      <w:pPr>
        <w:pStyle w:val="BodyText"/>
        <w:spacing w:before="8"/>
        <w:ind w:left="137"/>
      </w:pPr>
      <w:r>
        <w:rPr/>
        <w:t>Demonstrações Contábeis, para fins de auditoria independente.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488" w:val="left" w:leader="none"/>
          <w:tab w:pos="490" w:val="left" w:leader="none"/>
        </w:tabs>
        <w:spacing w:line="240" w:lineRule="auto" w:before="175" w:after="0"/>
        <w:ind w:left="489" w:right="0" w:hanging="353"/>
        <w:jc w:val="left"/>
        <w:rPr>
          <w:b w:val="0"/>
        </w:rPr>
      </w:pPr>
      <w:r>
        <w:rPr>
          <w:b w:val="0"/>
          <w:color w:val="9D534E"/>
        </w:rPr>
        <w:t>CAIXA E EQUIVALENTES DE</w:t>
      </w:r>
      <w:r>
        <w:rPr>
          <w:b w:val="0"/>
          <w:color w:val="9D534E"/>
          <w:spacing w:val="-7"/>
        </w:rPr>
        <w:t> </w:t>
      </w:r>
      <w:r>
        <w:rPr>
          <w:b w:val="0"/>
          <w:color w:val="9D534E"/>
        </w:rPr>
        <w:t>CAIXA</w:t>
      </w:r>
    </w:p>
    <w:p>
      <w:pPr>
        <w:pStyle w:val="BodyText"/>
        <w:spacing w:before="9"/>
        <w:rPr>
          <w:rFonts w:ascii="Roboto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900433</wp:posOffset>
            </wp:positionH>
            <wp:positionV relativeFrom="paragraph">
              <wp:posOffset>172936</wp:posOffset>
            </wp:positionV>
            <wp:extent cx="5787901" cy="1548384"/>
            <wp:effectExtent l="0" t="0" r="0" b="0"/>
            <wp:wrapTopAndBottom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901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Roboto"/>
          <w:b w:val="0"/>
          <w:sz w:val="22"/>
        </w:rPr>
      </w:pPr>
    </w:p>
    <w:p>
      <w:pPr>
        <w:pStyle w:val="BodyText"/>
        <w:spacing w:line="247" w:lineRule="auto" w:before="1"/>
        <w:ind w:left="137" w:right="113" w:firstLine="226"/>
        <w:jc w:val="both"/>
      </w:pPr>
      <w:r>
        <w:rPr/>
        <w:t>As</w:t>
      </w:r>
      <w:r>
        <w:rPr>
          <w:spacing w:val="-15"/>
        </w:rPr>
        <w:t> </w:t>
      </w:r>
      <w:r>
        <w:rPr/>
        <w:t>disponibilidades</w:t>
      </w:r>
      <w:r>
        <w:rPr>
          <w:spacing w:val="-15"/>
        </w:rPr>
        <w:t> </w:t>
      </w:r>
      <w:r>
        <w:rPr/>
        <w:t>são</w:t>
      </w:r>
      <w:r>
        <w:rPr>
          <w:spacing w:val="-15"/>
        </w:rPr>
        <w:t> </w:t>
      </w:r>
      <w:r>
        <w:rPr/>
        <w:t>representadas</w:t>
      </w:r>
      <w:r>
        <w:rPr>
          <w:spacing w:val="-15"/>
        </w:rPr>
        <w:t> </w:t>
      </w:r>
      <w:r>
        <w:rPr/>
        <w:t>substancialmente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fundos</w:t>
      </w:r>
      <w:r>
        <w:rPr>
          <w:spacing w:val="-15"/>
        </w:rPr>
        <w:t> </w:t>
      </w:r>
      <w:r>
        <w:rPr/>
        <w:t>extramercado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Banco</w:t>
      </w:r>
      <w:r>
        <w:rPr>
          <w:spacing w:val="-15"/>
        </w:rPr>
        <w:t> </w:t>
      </w:r>
      <w:r>
        <w:rPr/>
        <w:t>do Brasil e da Caixa Econômica Federal, conforme determina a Resolução nº 3.284/2005 do Banco Central do Brasil. A Resolução estabelece que as disponibilidades oriundas de receitas próprias das</w:t>
      </w:r>
      <w:r>
        <w:rPr>
          <w:spacing w:val="-17"/>
        </w:rPr>
        <w:t> </w:t>
      </w:r>
      <w:r>
        <w:rPr/>
        <w:t>empresas</w:t>
      </w:r>
      <w:r>
        <w:rPr>
          <w:spacing w:val="-16"/>
        </w:rPr>
        <w:t> </w:t>
      </w:r>
      <w:r>
        <w:rPr/>
        <w:t>públicas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das</w:t>
      </w:r>
      <w:r>
        <w:rPr>
          <w:spacing w:val="-17"/>
        </w:rPr>
        <w:t> </w:t>
      </w:r>
      <w:r>
        <w:rPr/>
        <w:t>sociedades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economia</w:t>
      </w:r>
      <w:r>
        <w:rPr>
          <w:spacing w:val="-16"/>
        </w:rPr>
        <w:t> </w:t>
      </w:r>
      <w:r>
        <w:rPr/>
        <w:t>mista</w:t>
      </w:r>
      <w:r>
        <w:rPr>
          <w:spacing w:val="-17"/>
        </w:rPr>
        <w:t> </w:t>
      </w:r>
      <w:r>
        <w:rPr/>
        <w:t>integrantes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Administração</w:t>
      </w:r>
      <w:r>
        <w:rPr>
          <w:spacing w:val="-16"/>
        </w:rPr>
        <w:t> </w:t>
      </w:r>
      <w:r>
        <w:rPr/>
        <w:t>Federal Indireta sejam aplicadas nestes fundos ou por instituição integrante do conglomerado financeiro por eles liderados, constituídos com observância no disposto nessa</w:t>
      </w:r>
      <w:r>
        <w:rPr>
          <w:spacing w:val="-9"/>
        </w:rPr>
        <w:t> </w:t>
      </w:r>
      <w:r>
        <w:rPr/>
        <w:t>Resolução.</w:t>
      </w:r>
    </w:p>
    <w:p>
      <w:pPr>
        <w:pStyle w:val="BodyText"/>
        <w:spacing w:before="144"/>
        <w:ind w:left="364"/>
      </w:pPr>
      <w:r>
        <w:rPr/>
        <w:t>Os</w:t>
      </w:r>
      <w:r>
        <w:rPr>
          <w:spacing w:val="-10"/>
        </w:rPr>
        <w:t> </w:t>
      </w:r>
      <w:r>
        <w:rPr/>
        <w:t>rendimentos</w:t>
      </w:r>
      <w:r>
        <w:rPr>
          <w:spacing w:val="-10"/>
        </w:rPr>
        <w:t> </w:t>
      </w:r>
      <w:r>
        <w:rPr/>
        <w:t>estão</w:t>
      </w:r>
      <w:r>
        <w:rPr>
          <w:spacing w:val="-10"/>
        </w:rPr>
        <w:t> </w:t>
      </w:r>
      <w:r>
        <w:rPr/>
        <w:t>vinculados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taxa</w:t>
      </w:r>
      <w:r>
        <w:rPr>
          <w:spacing w:val="-10"/>
        </w:rPr>
        <w:t> </w:t>
      </w:r>
      <w:r>
        <w:rPr/>
        <w:t>média</w:t>
      </w:r>
      <w:r>
        <w:rPr>
          <w:spacing w:val="-11"/>
        </w:rPr>
        <w:t> </w:t>
      </w:r>
      <w:r>
        <w:rPr/>
        <w:t>ao</w:t>
      </w:r>
      <w:r>
        <w:rPr>
          <w:spacing w:val="-10"/>
        </w:rPr>
        <w:t> </w:t>
      </w:r>
      <w:r>
        <w:rPr/>
        <w:t>mês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0,63%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aplicação</w:t>
      </w:r>
      <w:r>
        <w:rPr>
          <w:spacing w:val="-10"/>
        </w:rPr>
        <w:t> </w:t>
      </w:r>
      <w:r>
        <w:rPr/>
        <w:t>extramercado,</w:t>
      </w:r>
    </w:p>
    <w:p>
      <w:pPr>
        <w:pStyle w:val="BodyText"/>
        <w:spacing w:before="8"/>
        <w:ind w:left="137"/>
      </w:pPr>
      <w:r>
        <w:rPr/>
        <w:t>e o saldo das aplicações financeiras totaliza o valor de R$ 702.253.471.</w:t>
      </w:r>
    </w:p>
    <w:p>
      <w:pPr>
        <w:spacing w:after="0"/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0"/>
          <w:numId w:val="1"/>
        </w:numPr>
        <w:tabs>
          <w:tab w:pos="488" w:val="left" w:leader="none"/>
          <w:tab w:pos="490" w:val="left" w:leader="none"/>
        </w:tabs>
        <w:spacing w:line="240" w:lineRule="auto" w:before="63" w:after="0"/>
        <w:ind w:left="489" w:right="0" w:hanging="353"/>
        <w:jc w:val="left"/>
        <w:rPr>
          <w:b w:val="0"/>
        </w:rPr>
      </w:pPr>
      <w:r>
        <w:rPr>
          <w:b w:val="0"/>
          <w:color w:val="9D534E"/>
        </w:rPr>
        <w:t>CLIENTES A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RECEBER</w:t>
      </w:r>
    </w:p>
    <w:p>
      <w:pPr>
        <w:pStyle w:val="BodyText"/>
        <w:spacing w:before="10"/>
        <w:rPr>
          <w:rFonts w:ascii="Roboto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899998</wp:posOffset>
            </wp:positionH>
            <wp:positionV relativeFrom="paragraph">
              <wp:posOffset>173783</wp:posOffset>
            </wp:positionV>
            <wp:extent cx="5721560" cy="810101"/>
            <wp:effectExtent l="0" t="0" r="0" b="0"/>
            <wp:wrapTopAndBottom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560" cy="81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Roboto"/>
          <w:b w:val="0"/>
          <w:sz w:val="31"/>
        </w:rPr>
      </w:pPr>
    </w:p>
    <w:p>
      <w:pPr>
        <w:pStyle w:val="ListParagraph"/>
        <w:numPr>
          <w:ilvl w:val="1"/>
          <w:numId w:val="3"/>
        </w:numPr>
        <w:tabs>
          <w:tab w:pos="558" w:val="left" w:leader="none"/>
        </w:tabs>
        <w:spacing w:line="240" w:lineRule="auto" w:before="0" w:after="0"/>
        <w:ind w:left="557" w:right="0" w:hanging="421"/>
        <w:jc w:val="left"/>
        <w:rPr>
          <w:b w:val="0"/>
          <w:sz w:val="22"/>
        </w:rPr>
      </w:pPr>
      <w:r>
        <w:rPr>
          <w:b w:val="0"/>
          <w:sz w:val="22"/>
        </w:rPr>
        <w:t>Ministério da Saúde – Medicamentos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Hemoderivados</w:t>
      </w:r>
    </w:p>
    <w:p>
      <w:pPr>
        <w:pStyle w:val="BodyText"/>
        <w:spacing w:line="249" w:lineRule="auto" w:before="172"/>
        <w:ind w:left="137" w:right="112" w:firstLine="226"/>
        <w:jc w:val="both"/>
      </w:pPr>
      <w:r>
        <w:rPr/>
        <w:t>Em 2019, a Hemobrás recebeu do Ministério da Saúde o valor parcial líquido de R$ 19.115.548, referente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prestação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serviços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gerenciamento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plasma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anos</w:t>
      </w:r>
      <w:r>
        <w:rPr>
          <w:spacing w:val="-10"/>
        </w:rPr>
        <w:t> </w:t>
      </w:r>
      <w:r>
        <w:rPr/>
        <w:t>anteriores,</w:t>
      </w:r>
      <w:r>
        <w:rPr>
          <w:spacing w:val="-10"/>
        </w:rPr>
        <w:t> </w:t>
      </w:r>
      <w:r>
        <w:rPr/>
        <w:t>não</w:t>
      </w:r>
      <w:r>
        <w:rPr>
          <w:spacing w:val="-9"/>
        </w:rPr>
        <w:t> </w:t>
      </w:r>
      <w:r>
        <w:rPr/>
        <w:t>liquidados. O saldo em aberto no valor de R$ 6.266.247 está em negociação com o Ministério da</w:t>
      </w:r>
      <w:r>
        <w:rPr>
          <w:spacing w:val="-15"/>
        </w:rPr>
        <w:t> </w:t>
      </w:r>
      <w:r>
        <w:rPr/>
        <w:t>Saúde.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1"/>
          <w:numId w:val="3"/>
        </w:numPr>
        <w:tabs>
          <w:tab w:pos="564" w:val="left" w:leader="none"/>
        </w:tabs>
        <w:spacing w:line="240" w:lineRule="auto" w:before="1" w:after="0"/>
        <w:ind w:left="563" w:right="0" w:hanging="427"/>
        <w:jc w:val="left"/>
        <w:rPr>
          <w:b w:val="0"/>
        </w:rPr>
      </w:pPr>
      <w:r>
        <w:rPr>
          <w:b w:val="0"/>
        </w:rPr>
        <w:t>Ministério da Saúde – Medicamentos</w:t>
      </w:r>
      <w:r>
        <w:rPr>
          <w:b w:val="0"/>
          <w:spacing w:val="-5"/>
        </w:rPr>
        <w:t> </w:t>
      </w:r>
      <w:r>
        <w:rPr>
          <w:b w:val="0"/>
        </w:rPr>
        <w:t>Recombinantes</w:t>
      </w:r>
    </w:p>
    <w:p>
      <w:pPr>
        <w:pStyle w:val="BodyText"/>
        <w:spacing w:line="249" w:lineRule="auto" w:before="172"/>
        <w:ind w:left="137" w:right="115" w:firstLine="226"/>
        <w:jc w:val="both"/>
      </w:pPr>
      <w:r>
        <w:rPr/>
        <w:t>Trata-se de contas a receber referentes ao contrato celebrado entre a Hemobrás e o Ministério da</w:t>
      </w:r>
      <w:r>
        <w:rPr>
          <w:spacing w:val="-17"/>
        </w:rPr>
        <w:t> </w:t>
      </w:r>
      <w:r>
        <w:rPr/>
        <w:t>Saúde</w:t>
      </w:r>
      <w:r>
        <w:rPr>
          <w:spacing w:val="-16"/>
        </w:rPr>
        <w:t> </w:t>
      </w:r>
      <w:r>
        <w:rPr/>
        <w:t>(Contrato</w:t>
      </w:r>
      <w:r>
        <w:rPr>
          <w:spacing w:val="-16"/>
        </w:rPr>
        <w:t> </w:t>
      </w:r>
      <w:r>
        <w:rPr/>
        <w:t>nº</w:t>
      </w:r>
      <w:r>
        <w:rPr>
          <w:spacing w:val="-16"/>
        </w:rPr>
        <w:t> </w:t>
      </w:r>
      <w:r>
        <w:rPr/>
        <w:t>216/2018),</w:t>
      </w:r>
      <w:r>
        <w:rPr>
          <w:spacing w:val="-16"/>
        </w:rPr>
        <w:t> </w:t>
      </w:r>
      <w:r>
        <w:rPr/>
        <w:t>cujo</w:t>
      </w:r>
      <w:r>
        <w:rPr>
          <w:spacing w:val="-16"/>
        </w:rPr>
        <w:t> </w:t>
      </w:r>
      <w:r>
        <w:rPr/>
        <w:t>objeto</w:t>
      </w:r>
      <w:r>
        <w:rPr>
          <w:spacing w:val="-16"/>
        </w:rPr>
        <w:t> </w:t>
      </w:r>
      <w:r>
        <w:rPr/>
        <w:t>é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aquisição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concentrado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fator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coagulação, fator VIII recombinante e pó liófilo para injetável, e cujo montante é de R$</w:t>
      </w:r>
      <w:r>
        <w:rPr>
          <w:spacing w:val="-19"/>
        </w:rPr>
        <w:t> </w:t>
      </w:r>
      <w:r>
        <w:rPr/>
        <w:t>105.682.680.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567" w:val="left" w:leader="none"/>
        </w:tabs>
        <w:spacing w:line="240" w:lineRule="auto" w:before="0" w:after="0"/>
        <w:ind w:left="566" w:right="0" w:hanging="430"/>
        <w:jc w:val="left"/>
        <w:rPr>
          <w:b w:val="0"/>
        </w:rPr>
      </w:pPr>
      <w:r>
        <w:rPr>
          <w:b w:val="0"/>
          <w:color w:val="7C7B7B"/>
        </w:rPr>
        <w:t>Valores a Receber por Idade de</w:t>
      </w:r>
      <w:r>
        <w:rPr>
          <w:b w:val="0"/>
          <w:color w:val="7C7B7B"/>
          <w:spacing w:val="-7"/>
        </w:rPr>
        <w:t> </w:t>
      </w:r>
      <w:r>
        <w:rPr>
          <w:b w:val="0"/>
          <w:color w:val="7C7B7B"/>
        </w:rPr>
        <w:t>Vencimento</w:t>
      </w:r>
    </w:p>
    <w:p>
      <w:pPr>
        <w:pStyle w:val="BodyText"/>
        <w:spacing w:before="172"/>
        <w:ind w:left="364"/>
      </w:pPr>
      <w:r>
        <w:rPr/>
        <w:t>A composição de clientes a receber por idade de vencimento é apresentada conforme quadro</w:t>
      </w:r>
    </w:p>
    <w:p>
      <w:pPr>
        <w:pStyle w:val="BodyText"/>
        <w:spacing w:before="9"/>
        <w:ind w:left="137"/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899998</wp:posOffset>
            </wp:positionH>
            <wp:positionV relativeFrom="paragraph">
              <wp:posOffset>251155</wp:posOffset>
            </wp:positionV>
            <wp:extent cx="5796126" cy="768096"/>
            <wp:effectExtent l="0" t="0" r="0" b="0"/>
            <wp:wrapTopAndBottom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26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seguir:</w:t>
      </w:r>
    </w:p>
    <w:p>
      <w:pPr>
        <w:pStyle w:val="BodyText"/>
        <w:spacing w:line="249" w:lineRule="auto" w:before="185"/>
        <w:ind w:left="137" w:right="115" w:firstLine="226"/>
        <w:jc w:val="both"/>
      </w:pPr>
      <w:r>
        <w:rPr/>
        <w:t>Em</w:t>
      </w:r>
      <w:r>
        <w:rPr>
          <w:spacing w:val="-10"/>
        </w:rPr>
        <w:t> </w:t>
      </w:r>
      <w:r>
        <w:rPr/>
        <w:t>2019,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Hemobrás</w:t>
      </w:r>
      <w:r>
        <w:rPr>
          <w:spacing w:val="-9"/>
        </w:rPr>
        <w:t> </w:t>
      </w:r>
      <w:r>
        <w:rPr/>
        <w:t>não</w:t>
      </w:r>
      <w:r>
        <w:rPr>
          <w:spacing w:val="-10"/>
        </w:rPr>
        <w:t> </w:t>
      </w:r>
      <w:r>
        <w:rPr/>
        <w:t>constituiu</w:t>
      </w:r>
      <w:r>
        <w:rPr>
          <w:spacing w:val="-10"/>
        </w:rPr>
        <w:t> </w:t>
      </w:r>
      <w:r>
        <w:rPr/>
        <w:t>provisão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perdas</w:t>
      </w:r>
      <w:r>
        <w:rPr>
          <w:spacing w:val="-10"/>
        </w:rPr>
        <w:t> </w:t>
      </w:r>
      <w:r>
        <w:rPr/>
        <w:t>estimadas</w:t>
      </w:r>
      <w:r>
        <w:rPr>
          <w:spacing w:val="-9"/>
        </w:rPr>
        <w:t> </w:t>
      </w:r>
      <w:r>
        <w:rPr/>
        <w:t>em</w:t>
      </w:r>
      <w:r>
        <w:rPr>
          <w:spacing w:val="-10"/>
        </w:rPr>
        <w:t> </w:t>
      </w:r>
      <w:r>
        <w:rPr/>
        <w:t>créditos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liquidação duvidosa –</w:t>
      </w:r>
      <w:r>
        <w:rPr>
          <w:spacing w:val="-2"/>
        </w:rPr>
        <w:t> </w:t>
      </w:r>
      <w:r>
        <w:rPr/>
        <w:t>PECLD.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488" w:val="left" w:leader="none"/>
          <w:tab w:pos="490" w:val="left" w:leader="none"/>
        </w:tabs>
        <w:spacing w:line="240" w:lineRule="auto" w:before="165" w:after="0"/>
        <w:ind w:left="489" w:right="0" w:hanging="353"/>
        <w:jc w:val="left"/>
        <w:rPr>
          <w:b w:val="0"/>
        </w:rPr>
      </w:pPr>
      <w:r>
        <w:rPr>
          <w:b w:val="0"/>
          <w:color w:val="9D534E"/>
        </w:rPr>
        <w:t>ESTOQUE</w:t>
      </w:r>
    </w:p>
    <w:p>
      <w:pPr>
        <w:pStyle w:val="BodyText"/>
        <w:spacing w:before="4"/>
        <w:rPr>
          <w:rFonts w:ascii="Roboto"/>
          <w:b w:val="0"/>
          <w:sz w:val="19"/>
        </w:rPr>
      </w:pPr>
    </w:p>
    <w:p>
      <w:pPr>
        <w:spacing w:before="0"/>
        <w:ind w:left="137" w:right="0" w:firstLine="0"/>
        <w:jc w:val="left"/>
        <w:rPr>
          <w:rFonts w:ascii="Roboto" w:hAnsi="Roboto"/>
          <w:b w:val="0"/>
          <w:sz w:val="22"/>
        </w:rPr>
      </w:pPr>
      <w:r>
        <w:rPr>
          <w:rFonts w:ascii="Roboto" w:hAnsi="Roboto"/>
          <w:b w:val="0"/>
          <w:sz w:val="22"/>
        </w:rPr>
        <w:t>Concentrado de Fator VIII de Coagulação Recombinante – Hemo-8r</w:t>
      </w:r>
    </w:p>
    <w:p>
      <w:pPr>
        <w:pStyle w:val="BodyText"/>
        <w:spacing w:line="249" w:lineRule="auto" w:before="172"/>
        <w:ind w:left="137" w:right="115" w:firstLine="226"/>
        <w:jc w:val="both"/>
      </w:pPr>
      <w:r>
        <w:rPr/>
        <w:t>Em 2019, a Hemobrás manteve a distribuição do concentrado de fator VIII de coagulação recombinante</w:t>
      </w:r>
      <w:r>
        <w:rPr>
          <w:spacing w:val="-21"/>
        </w:rPr>
        <w:t> </w:t>
      </w:r>
      <w:r>
        <w:rPr/>
        <w:t>recebido</w:t>
      </w:r>
      <w:r>
        <w:rPr>
          <w:spacing w:val="-20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3"/>
        </w:rPr>
        <w:t>Takeda.</w:t>
      </w:r>
      <w:r>
        <w:rPr>
          <w:spacing w:val="-20"/>
        </w:rPr>
        <w:t> </w:t>
      </w:r>
      <w:r>
        <w:rPr/>
        <w:t>Os</w:t>
      </w:r>
      <w:r>
        <w:rPr>
          <w:spacing w:val="-20"/>
        </w:rPr>
        <w:t> </w:t>
      </w:r>
      <w:r>
        <w:rPr/>
        <w:t>estoques</w:t>
      </w:r>
      <w:r>
        <w:rPr>
          <w:spacing w:val="-20"/>
        </w:rPr>
        <w:t> </w:t>
      </w:r>
      <w:r>
        <w:rPr/>
        <w:t>foram</w:t>
      </w:r>
      <w:r>
        <w:rPr>
          <w:spacing w:val="-20"/>
        </w:rPr>
        <w:t> </w:t>
      </w:r>
      <w:r>
        <w:rPr/>
        <w:t>mensurados</w:t>
      </w:r>
      <w:r>
        <w:rPr>
          <w:spacing w:val="-21"/>
        </w:rPr>
        <w:t> </w:t>
      </w:r>
      <w:r>
        <w:rPr/>
        <w:t>com</w:t>
      </w:r>
      <w:r>
        <w:rPr>
          <w:spacing w:val="-20"/>
        </w:rPr>
        <w:t> </w:t>
      </w:r>
      <w:r>
        <w:rPr/>
        <w:t>base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valor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aquisição, 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método</w:t>
      </w:r>
      <w:r>
        <w:rPr>
          <w:spacing w:val="-3"/>
        </w:rPr>
        <w:t> </w:t>
      </w:r>
      <w:r>
        <w:rPr/>
        <w:t>utilizado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mensuração</w:t>
      </w:r>
      <w:r>
        <w:rPr>
          <w:spacing w:val="-2"/>
        </w:rPr>
        <w:t> </w:t>
      </w:r>
      <w:r>
        <w:rPr/>
        <w:t>das</w:t>
      </w:r>
      <w:r>
        <w:rPr>
          <w:spacing w:val="-4"/>
        </w:rPr>
        <w:t> </w:t>
      </w:r>
      <w:r>
        <w:rPr/>
        <w:t>saídas</w:t>
      </w:r>
      <w:r>
        <w:rPr>
          <w:spacing w:val="-3"/>
        </w:rPr>
        <w:t> </w:t>
      </w:r>
      <w:r>
        <w:rPr/>
        <w:t>foi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custo</w:t>
      </w:r>
      <w:r>
        <w:rPr>
          <w:spacing w:val="-3"/>
        </w:rPr>
        <w:t> </w:t>
      </w:r>
      <w:r>
        <w:rPr/>
        <w:t>médio</w:t>
      </w:r>
      <w:r>
        <w:rPr>
          <w:spacing w:val="-4"/>
        </w:rPr>
        <w:t> </w:t>
      </w:r>
      <w:r>
        <w:rPr/>
        <w:t>ponderado.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valor</w:t>
      </w:r>
      <w:r>
        <w:rPr>
          <w:spacing w:val="-2"/>
        </w:rPr>
        <w:t> </w:t>
      </w:r>
      <w:r>
        <w:rPr/>
        <w:t>realizável líquido</w:t>
      </w:r>
      <w:r>
        <w:rPr>
          <w:spacing w:val="-30"/>
        </w:rPr>
        <w:t> </w:t>
      </w:r>
      <w:r>
        <w:rPr/>
        <w:t>da</w:t>
      </w:r>
      <w:r>
        <w:rPr>
          <w:spacing w:val="-29"/>
        </w:rPr>
        <w:t> </w:t>
      </w:r>
      <w:r>
        <w:rPr/>
        <w:t>quantidade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/>
        <w:t>estoque</w:t>
      </w:r>
      <w:r>
        <w:rPr>
          <w:spacing w:val="-29"/>
        </w:rPr>
        <w:t> </w:t>
      </w:r>
      <w:r>
        <w:rPr/>
        <w:t>mantido</w:t>
      </w:r>
      <w:r>
        <w:rPr>
          <w:spacing w:val="-30"/>
        </w:rPr>
        <w:t> </w:t>
      </w:r>
      <w:r>
        <w:rPr>
          <w:spacing w:val="-3"/>
        </w:rPr>
        <w:t>para</w:t>
      </w:r>
      <w:r>
        <w:rPr>
          <w:spacing w:val="-29"/>
        </w:rPr>
        <w:t> </w:t>
      </w:r>
      <w:r>
        <w:rPr/>
        <w:t>atender</w:t>
      </w:r>
      <w:r>
        <w:rPr>
          <w:spacing w:val="-30"/>
        </w:rPr>
        <w:t> </w:t>
      </w:r>
      <w:r>
        <w:rPr>
          <w:spacing w:val="-3"/>
        </w:rPr>
        <w:t>contratos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venda</w:t>
      </w:r>
      <w:r>
        <w:rPr>
          <w:spacing w:val="-30"/>
        </w:rPr>
        <w:t> </w:t>
      </w:r>
      <w:r>
        <w:rPr/>
        <w:t>com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Ministério</w:t>
      </w:r>
      <w:r>
        <w:rPr>
          <w:spacing w:val="-30"/>
        </w:rPr>
        <w:t> </w:t>
      </w:r>
      <w:r>
        <w:rPr/>
        <w:t>da</w:t>
      </w:r>
      <w:r>
        <w:rPr>
          <w:spacing w:val="-29"/>
        </w:rPr>
        <w:t> </w:t>
      </w:r>
      <w:r>
        <w:rPr/>
        <w:t>Saúde no</w:t>
      </w:r>
      <w:r>
        <w:rPr>
          <w:spacing w:val="-21"/>
        </w:rPr>
        <w:t> </w:t>
      </w:r>
      <w:r>
        <w:rPr/>
        <w:t>exercício</w:t>
      </w:r>
      <w:r>
        <w:rPr>
          <w:spacing w:val="-21"/>
        </w:rPr>
        <w:t> </w:t>
      </w:r>
      <w:r>
        <w:rPr/>
        <w:t>corrente</w:t>
      </w:r>
      <w:r>
        <w:rPr>
          <w:spacing w:val="-20"/>
        </w:rPr>
        <w:t> </w:t>
      </w:r>
      <w:r>
        <w:rPr/>
        <w:t>foi</w:t>
      </w:r>
      <w:r>
        <w:rPr>
          <w:spacing w:val="-21"/>
        </w:rPr>
        <w:t> </w:t>
      </w:r>
      <w:r>
        <w:rPr/>
        <w:t>maior</w:t>
      </w:r>
      <w:r>
        <w:rPr>
          <w:spacing w:val="-20"/>
        </w:rPr>
        <w:t> </w:t>
      </w:r>
      <w:r>
        <w:rPr/>
        <w:t>que</w:t>
      </w:r>
      <w:r>
        <w:rPr>
          <w:spacing w:val="-21"/>
        </w:rPr>
        <w:t> </w:t>
      </w:r>
      <w:r>
        <w:rPr/>
        <w:t>o</w:t>
      </w:r>
      <w:r>
        <w:rPr>
          <w:spacing w:val="-20"/>
        </w:rPr>
        <w:t> </w:t>
      </w:r>
      <w:r>
        <w:rPr/>
        <w:t>custo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aquisição;</w:t>
      </w:r>
      <w:r>
        <w:rPr>
          <w:spacing w:val="-21"/>
        </w:rPr>
        <w:t> </w:t>
      </w:r>
      <w:r>
        <w:rPr/>
        <w:t>dessa</w:t>
      </w:r>
      <w:r>
        <w:rPr>
          <w:spacing w:val="-21"/>
        </w:rPr>
        <w:t> </w:t>
      </w:r>
      <w:r>
        <w:rPr/>
        <w:t>forma,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estoque</w:t>
      </w:r>
      <w:r>
        <w:rPr>
          <w:spacing w:val="-20"/>
        </w:rPr>
        <w:t> </w:t>
      </w:r>
      <w:r>
        <w:rPr/>
        <w:t>foi</w:t>
      </w:r>
      <w:r>
        <w:rPr>
          <w:spacing w:val="-21"/>
        </w:rPr>
        <w:t> </w:t>
      </w:r>
      <w:r>
        <w:rPr/>
        <w:t>mensurado</w:t>
      </w:r>
      <w:r>
        <w:rPr>
          <w:spacing w:val="-20"/>
        </w:rPr>
        <w:t> </w:t>
      </w:r>
      <w:r>
        <w:rPr/>
        <w:t>pelo custo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aquisição.</w:t>
      </w:r>
      <w:r>
        <w:rPr>
          <w:spacing w:val="-21"/>
        </w:rPr>
        <w:t> </w:t>
      </w:r>
      <w:r>
        <w:rPr>
          <w:spacing w:val="-3"/>
        </w:rPr>
        <w:t>Todos</w:t>
      </w:r>
      <w:r>
        <w:rPr>
          <w:spacing w:val="-17"/>
        </w:rPr>
        <w:t> </w:t>
      </w:r>
      <w:r>
        <w:rPr/>
        <w:t>os</w:t>
      </w:r>
      <w:r>
        <w:rPr>
          <w:spacing w:val="-18"/>
        </w:rPr>
        <w:t> </w:t>
      </w:r>
      <w:r>
        <w:rPr/>
        <w:t>medicamentos</w:t>
      </w:r>
      <w:r>
        <w:rPr>
          <w:spacing w:val="-17"/>
        </w:rPr>
        <w:t> </w:t>
      </w:r>
      <w:r>
        <w:rPr/>
        <w:t>recombinantes</w:t>
      </w:r>
      <w:r>
        <w:rPr>
          <w:spacing w:val="-17"/>
        </w:rPr>
        <w:t> </w:t>
      </w:r>
      <w:r>
        <w:rPr/>
        <w:t>foram</w:t>
      </w:r>
      <w:r>
        <w:rPr>
          <w:spacing w:val="-18"/>
        </w:rPr>
        <w:t> </w:t>
      </w:r>
      <w:r>
        <w:rPr/>
        <w:t>adquiridos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moeda</w:t>
      </w:r>
      <w:r>
        <w:rPr>
          <w:spacing w:val="-18"/>
        </w:rPr>
        <w:t> </w:t>
      </w:r>
      <w:r>
        <w:rPr/>
        <w:t>corrente.</w:t>
      </w:r>
    </w:p>
    <w:p>
      <w:pPr>
        <w:pStyle w:val="BodyText"/>
        <w:spacing w:before="137"/>
        <w:ind w:left="364"/>
      </w:pPr>
      <w:r>
        <w:rPr/>
        <w:t>O</w:t>
      </w:r>
      <w:r>
        <w:rPr>
          <w:spacing w:val="22"/>
        </w:rPr>
        <w:t> </w:t>
      </w:r>
      <w:r>
        <w:rPr/>
        <w:t>saldo</w:t>
      </w:r>
      <w:r>
        <w:rPr>
          <w:spacing w:val="23"/>
        </w:rPr>
        <w:t> </w:t>
      </w:r>
      <w:r>
        <w:rPr/>
        <w:t>em</w:t>
      </w:r>
      <w:r>
        <w:rPr>
          <w:spacing w:val="23"/>
        </w:rPr>
        <w:t> </w:t>
      </w:r>
      <w:r>
        <w:rPr/>
        <w:t>2019</w:t>
      </w:r>
      <w:r>
        <w:rPr>
          <w:spacing w:val="22"/>
        </w:rPr>
        <w:t> </w:t>
      </w:r>
      <w:r>
        <w:rPr/>
        <w:t>do</w:t>
      </w:r>
      <w:r>
        <w:rPr>
          <w:spacing w:val="23"/>
        </w:rPr>
        <w:t> </w:t>
      </w:r>
      <w:r>
        <w:rPr/>
        <w:t>medicamento</w:t>
      </w:r>
      <w:r>
        <w:rPr>
          <w:spacing w:val="23"/>
        </w:rPr>
        <w:t> </w:t>
      </w:r>
      <w:r>
        <w:rPr/>
        <w:t>concentrado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fator</w:t>
      </w:r>
      <w:r>
        <w:rPr>
          <w:spacing w:val="23"/>
        </w:rPr>
        <w:t> </w:t>
      </w:r>
      <w:r>
        <w:rPr/>
        <w:t>VIII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coagulação</w:t>
      </w:r>
      <w:r>
        <w:rPr>
          <w:spacing w:val="23"/>
        </w:rPr>
        <w:t> </w:t>
      </w:r>
      <w:r>
        <w:rPr/>
        <w:t>recombinante</w:t>
      </w:r>
      <w:r>
        <w:rPr>
          <w:spacing w:val="22"/>
        </w:rPr>
        <w:t> </w:t>
      </w:r>
      <w:r>
        <w:rPr/>
        <w:t>–</w:t>
      </w:r>
    </w:p>
    <w:p>
      <w:pPr>
        <w:pStyle w:val="BodyText"/>
        <w:spacing w:before="9"/>
        <w:ind w:left="137"/>
      </w:pPr>
      <w:r>
        <w:rPr/>
        <w:t>Hemo-8r totaliza o montante de R$ 96.860.436.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ind w:left="137" w:firstLine="0"/>
        <w:rPr>
          <w:b w:val="0"/>
        </w:rPr>
      </w:pPr>
      <w:r>
        <w:rPr>
          <w:b w:val="0"/>
        </w:rPr>
        <w:t>Gestão do Plasma</w:t>
      </w:r>
    </w:p>
    <w:p>
      <w:pPr>
        <w:pStyle w:val="BodyText"/>
        <w:spacing w:line="249" w:lineRule="auto" w:before="172"/>
        <w:ind w:left="137" w:right="110" w:firstLine="226"/>
        <w:jc w:val="both"/>
      </w:pPr>
      <w:r>
        <w:rPr/>
        <w:t>Para o plasma estocado em  2019, no  valor total de R$ 9.416.841, foram emitidos o Parecer  nº</w:t>
      </w:r>
      <w:r>
        <w:rPr>
          <w:spacing w:val="-12"/>
        </w:rPr>
        <w:t> </w:t>
      </w:r>
      <w:r>
        <w:rPr/>
        <w:t>00890/2019/Conjur-MS/CGU/AGU,</w:t>
      </w:r>
      <w:r>
        <w:rPr>
          <w:spacing w:val="-11"/>
        </w:rPr>
        <w:t> </w:t>
      </w:r>
      <w:r>
        <w:rPr/>
        <w:t>referente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consulta</w:t>
      </w:r>
      <w:r>
        <w:rPr>
          <w:spacing w:val="-12"/>
        </w:rPr>
        <w:t> </w:t>
      </w:r>
      <w:r>
        <w:rPr/>
        <w:t>acerca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viabilidade</w:t>
      </w:r>
      <w:r>
        <w:rPr>
          <w:spacing w:val="-12"/>
        </w:rPr>
        <w:t> </w:t>
      </w:r>
      <w:r>
        <w:rPr/>
        <w:t>legal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realizar parceria entre a Hemobrás e as empresas interessadas para doação de plasma humano, e o Despacho</w:t>
      </w:r>
      <w:r>
        <w:rPr>
          <w:spacing w:val="-9"/>
        </w:rPr>
        <w:t> </w:t>
      </w:r>
      <w:r>
        <w:rPr/>
        <w:t>nº</w:t>
      </w:r>
      <w:r>
        <w:rPr>
          <w:spacing w:val="-8"/>
        </w:rPr>
        <w:t> </w:t>
      </w:r>
      <w:r>
        <w:rPr/>
        <w:t>4766/2019/Conjur-MS/CGU/AGU,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aprovou</w:t>
      </w:r>
      <w:r>
        <w:rPr>
          <w:spacing w:val="-8"/>
        </w:rPr>
        <w:t> </w:t>
      </w:r>
      <w:r>
        <w:rPr/>
        <w:t>esse</w:t>
      </w:r>
      <w:r>
        <w:rPr>
          <w:spacing w:val="-10"/>
        </w:rPr>
        <w:t> </w:t>
      </w:r>
      <w:r>
        <w:rPr>
          <w:spacing w:val="-3"/>
        </w:rPr>
        <w:t>Parecer,</w:t>
      </w:r>
      <w:r>
        <w:rPr>
          <w:spacing w:val="-8"/>
        </w:rPr>
        <w:t> </w:t>
      </w:r>
      <w:r>
        <w:rPr/>
        <w:t>adotando</w:t>
      </w:r>
      <w:r>
        <w:rPr>
          <w:spacing w:val="-8"/>
        </w:rPr>
        <w:t> </w:t>
      </w:r>
      <w:r>
        <w:rPr/>
        <w:t>fundamentos e</w:t>
      </w:r>
      <w:r>
        <w:rPr>
          <w:spacing w:val="44"/>
        </w:rPr>
        <w:t> </w:t>
      </w:r>
      <w:r>
        <w:rPr>
          <w:spacing w:val="4"/>
        </w:rPr>
        <w:t>conclusões</w:t>
      </w:r>
      <w:r>
        <w:rPr>
          <w:spacing w:val="43"/>
        </w:rPr>
        <w:t> </w:t>
      </w:r>
      <w:r>
        <w:rPr>
          <w:spacing w:val="2"/>
        </w:rPr>
        <w:t>no</w:t>
      </w:r>
      <w:r>
        <w:rPr>
          <w:spacing w:val="45"/>
        </w:rPr>
        <w:t> </w:t>
      </w:r>
      <w:r>
        <w:rPr>
          <w:spacing w:val="4"/>
        </w:rPr>
        <w:t>sentido</w:t>
      </w:r>
      <w:r>
        <w:rPr>
          <w:spacing w:val="45"/>
        </w:rPr>
        <w:t> </w:t>
      </w:r>
      <w:r>
        <w:rPr>
          <w:spacing w:val="2"/>
        </w:rPr>
        <w:t>de</w:t>
      </w:r>
      <w:r>
        <w:rPr>
          <w:spacing w:val="44"/>
        </w:rPr>
        <w:t> </w:t>
      </w:r>
      <w:r>
        <w:rPr>
          <w:spacing w:val="3"/>
        </w:rPr>
        <w:t>que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4"/>
        </w:rPr>
        <w:t>doação</w:t>
      </w:r>
      <w:r>
        <w:rPr>
          <w:spacing w:val="45"/>
        </w:rPr>
        <w:t> </w:t>
      </w:r>
      <w:r>
        <w:rPr>
          <w:spacing w:val="3"/>
        </w:rPr>
        <w:t>com</w:t>
      </w:r>
      <w:r>
        <w:rPr>
          <w:spacing w:val="43"/>
        </w:rPr>
        <w:t> </w:t>
      </w:r>
      <w:r>
        <w:rPr>
          <w:spacing w:val="4"/>
        </w:rPr>
        <w:t>encargo</w:t>
      </w:r>
      <w:r>
        <w:rPr>
          <w:spacing w:val="45"/>
        </w:rPr>
        <w:t> </w:t>
      </w:r>
      <w:r>
        <w:rPr>
          <w:spacing w:val="2"/>
        </w:rPr>
        <w:t>do</w:t>
      </w:r>
      <w:r>
        <w:rPr>
          <w:spacing w:val="44"/>
        </w:rPr>
        <w:t> </w:t>
      </w:r>
      <w:r>
        <w:rPr>
          <w:spacing w:val="4"/>
        </w:rPr>
        <w:t>plasma</w:t>
      </w:r>
      <w:r>
        <w:rPr>
          <w:spacing w:val="44"/>
        </w:rPr>
        <w:t> </w:t>
      </w:r>
      <w:r>
        <w:rPr>
          <w:spacing w:val="4"/>
        </w:rPr>
        <w:t>humano</w:t>
      </w:r>
      <w:r>
        <w:rPr>
          <w:spacing w:val="44"/>
        </w:rPr>
        <w:t> </w:t>
      </w:r>
      <w:r>
        <w:rPr>
          <w:spacing w:val="4"/>
        </w:rPr>
        <w:t>estocado</w:t>
      </w:r>
      <w:r>
        <w:rPr>
          <w:spacing w:val="44"/>
        </w:rPr>
        <w:t> </w:t>
      </w:r>
      <w:r>
        <w:rPr>
          <w:spacing w:val="5"/>
        </w:rPr>
        <w:t>na</w:t>
      </w:r>
    </w:p>
    <w:p>
      <w:pPr>
        <w:spacing w:after="0" w:line="249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BodyText"/>
        <w:spacing w:line="247" w:lineRule="auto" w:before="87"/>
        <w:ind w:left="137" w:right="112"/>
        <w:jc w:val="both"/>
      </w:pPr>
      <w:r>
        <w:rPr/>
        <w:t>Hemobrás</w:t>
      </w:r>
      <w:r>
        <w:rPr>
          <w:spacing w:val="-5"/>
        </w:rPr>
        <w:t> </w:t>
      </w:r>
      <w:r>
        <w:rPr/>
        <w:t>às</w:t>
      </w:r>
      <w:r>
        <w:rPr>
          <w:spacing w:val="-5"/>
        </w:rPr>
        <w:t> </w:t>
      </w:r>
      <w:r>
        <w:rPr/>
        <w:t>empresas</w:t>
      </w:r>
      <w:r>
        <w:rPr>
          <w:spacing w:val="-5"/>
        </w:rPr>
        <w:t> </w:t>
      </w:r>
      <w:r>
        <w:rPr/>
        <w:t>interessadas,</w:t>
      </w:r>
      <w:r>
        <w:rPr>
          <w:spacing w:val="-5"/>
        </w:rPr>
        <w:t> </w:t>
      </w:r>
      <w:r>
        <w:rPr/>
        <w:t>insuscetível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utilização/fracionamento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uso</w:t>
      </w:r>
      <w:r>
        <w:rPr>
          <w:spacing w:val="-5"/>
        </w:rPr>
        <w:t> </w:t>
      </w:r>
      <w:r>
        <w:rPr/>
        <w:t>humano, não constitui afronta à decisão judicial proferida na Ação Civil Pública – ACP registrada sob o   nº</w:t>
      </w:r>
      <w:r>
        <w:rPr>
          <w:spacing w:val="-21"/>
        </w:rPr>
        <w:t> </w:t>
      </w:r>
      <w:r>
        <w:rPr/>
        <w:t>0812772-19.2017.4.05.8300,</w:t>
      </w:r>
      <w:r>
        <w:rPr>
          <w:spacing w:val="-20"/>
        </w:rPr>
        <w:t> </w:t>
      </w:r>
      <w:r>
        <w:rPr/>
        <w:t>nem,</w:t>
      </w:r>
      <w:r>
        <w:rPr>
          <w:spacing w:val="-20"/>
        </w:rPr>
        <w:t> </w:t>
      </w:r>
      <w:r>
        <w:rPr/>
        <w:t>tampouco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caso</w:t>
      </w:r>
      <w:r>
        <w:rPr>
          <w:spacing w:val="-20"/>
        </w:rPr>
        <w:t> </w:t>
      </w:r>
      <w:r>
        <w:rPr/>
        <w:t>específico</w:t>
      </w:r>
      <w:r>
        <w:rPr>
          <w:spacing w:val="-20"/>
        </w:rPr>
        <w:t> </w:t>
      </w:r>
      <w:r>
        <w:rPr/>
        <w:t>em</w:t>
      </w:r>
      <w:r>
        <w:rPr>
          <w:spacing w:val="-20"/>
        </w:rPr>
        <w:t> </w:t>
      </w:r>
      <w:r>
        <w:rPr/>
        <w:t>análise,</w:t>
      </w:r>
      <w:r>
        <w:rPr>
          <w:spacing w:val="-20"/>
        </w:rPr>
        <w:t> </w:t>
      </w:r>
      <w:r>
        <w:rPr/>
        <w:t>afronta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§4º</w:t>
      </w:r>
      <w:r>
        <w:rPr>
          <w:spacing w:val="-20"/>
        </w:rPr>
        <w:t> </w:t>
      </w:r>
      <w:r>
        <w:rPr/>
        <w:t>do</w:t>
      </w:r>
      <w:r>
        <w:rPr>
          <w:spacing w:val="-21"/>
        </w:rPr>
        <w:t> </w:t>
      </w:r>
      <w:r>
        <w:rPr/>
        <w:t>art. 199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Constituição</w:t>
      </w:r>
      <w:r>
        <w:rPr>
          <w:spacing w:val="-5"/>
        </w:rPr>
        <w:t> </w:t>
      </w:r>
      <w:r>
        <w:rPr/>
        <w:t>Federal;</w:t>
      </w:r>
      <w:r>
        <w:rPr>
          <w:spacing w:val="-5"/>
        </w:rPr>
        <w:t> </w:t>
      </w:r>
      <w:r>
        <w:rPr/>
        <w:t>acrescentando</w:t>
      </w:r>
      <w:r>
        <w:rPr>
          <w:spacing w:val="-5"/>
        </w:rPr>
        <w:t> </w:t>
      </w:r>
      <w:r>
        <w:rPr/>
        <w:t>ainda,</w:t>
      </w:r>
      <w:r>
        <w:rPr>
          <w:spacing w:val="-5"/>
        </w:rPr>
        <w:t> </w:t>
      </w:r>
      <w:r>
        <w:rPr/>
        <w:t>quanto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destinação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plasma,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hipotética e eventualmente possa servir de insumo na fabricação de</w:t>
      </w:r>
      <w:r>
        <w:rPr>
          <w:spacing w:val="-4"/>
        </w:rPr>
        <w:t> </w:t>
      </w:r>
      <w:r>
        <w:rPr/>
        <w:t>bens.</w:t>
      </w:r>
    </w:p>
    <w:p>
      <w:pPr>
        <w:pStyle w:val="BodyText"/>
        <w:spacing w:line="247" w:lineRule="auto" w:before="143"/>
        <w:ind w:left="137" w:right="112" w:firstLine="226"/>
        <w:jc w:val="both"/>
      </w:pPr>
      <w:r>
        <w:rPr/>
        <w:t>A</w:t>
      </w:r>
      <w:r>
        <w:rPr>
          <w:spacing w:val="-17"/>
        </w:rPr>
        <w:t> </w:t>
      </w:r>
      <w:r>
        <w:rPr/>
        <w:t>Hemobrás,</w:t>
      </w:r>
      <w:r>
        <w:rPr>
          <w:spacing w:val="-16"/>
        </w:rPr>
        <w:t> </w:t>
      </w:r>
      <w:r>
        <w:rPr/>
        <w:t>com</w:t>
      </w:r>
      <w:r>
        <w:rPr>
          <w:spacing w:val="-16"/>
        </w:rPr>
        <w:t> </w:t>
      </w:r>
      <w:r>
        <w:rPr/>
        <w:t>base</w:t>
      </w:r>
      <w:r>
        <w:rPr>
          <w:spacing w:val="-17"/>
        </w:rPr>
        <w:t> </w:t>
      </w:r>
      <w:r>
        <w:rPr/>
        <w:t>nos</w:t>
      </w:r>
      <w:r>
        <w:rPr>
          <w:spacing w:val="-16"/>
        </w:rPr>
        <w:t> </w:t>
      </w:r>
      <w:r>
        <w:rPr/>
        <w:t>citados</w:t>
      </w:r>
      <w:r>
        <w:rPr>
          <w:spacing w:val="-16"/>
        </w:rPr>
        <w:t> </w:t>
      </w:r>
      <w:r>
        <w:rPr/>
        <w:t>documentos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diante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não</w:t>
      </w:r>
      <w:r>
        <w:rPr>
          <w:spacing w:val="-16"/>
        </w:rPr>
        <w:t> </w:t>
      </w:r>
      <w:r>
        <w:rPr/>
        <w:t>possibilidade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fracionamento do plasma em estoque, iniciará um processo com o objetivo de buscar no mercado interessados em</w:t>
      </w:r>
      <w:r>
        <w:rPr>
          <w:spacing w:val="-11"/>
        </w:rPr>
        <w:t> </w:t>
      </w:r>
      <w:r>
        <w:rPr/>
        <w:t>utilizar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plasma</w:t>
      </w:r>
      <w:r>
        <w:rPr>
          <w:spacing w:val="-10"/>
        </w:rPr>
        <w:t> </w:t>
      </w:r>
      <w:r>
        <w:rPr/>
        <w:t>estocado</w:t>
      </w:r>
      <w:r>
        <w:rPr>
          <w:spacing w:val="-10"/>
        </w:rPr>
        <w:t> </w:t>
      </w:r>
      <w:r>
        <w:rPr/>
        <w:t>fora</w:t>
      </w:r>
      <w:r>
        <w:rPr>
          <w:spacing w:val="-11"/>
        </w:rPr>
        <w:t> </w:t>
      </w:r>
      <w:r>
        <w:rPr/>
        <w:t>das</w:t>
      </w:r>
      <w:r>
        <w:rPr>
          <w:spacing w:val="-10"/>
        </w:rPr>
        <w:t> </w:t>
      </w:r>
      <w:r>
        <w:rPr/>
        <w:t>especificações</w:t>
      </w:r>
      <w:r>
        <w:rPr>
          <w:spacing w:val="-11"/>
        </w:rPr>
        <w:t> </w:t>
      </w:r>
      <w:r>
        <w:rPr/>
        <w:t>técnicas</w:t>
      </w:r>
      <w:r>
        <w:rPr>
          <w:spacing w:val="-10"/>
        </w:rPr>
        <w:t> </w:t>
      </w:r>
      <w:r>
        <w:rPr/>
        <w:t>necessárias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fracionamento de medicamento para uso</w:t>
      </w:r>
      <w:r>
        <w:rPr>
          <w:spacing w:val="-3"/>
        </w:rPr>
        <w:t> </w:t>
      </w:r>
      <w:r>
        <w:rPr/>
        <w:t>humano.</w:t>
      </w:r>
    </w:p>
    <w:p>
      <w:pPr>
        <w:pStyle w:val="BodyText"/>
        <w:spacing w:line="247" w:lineRule="auto" w:before="144"/>
        <w:ind w:left="137" w:right="119" w:firstLine="226"/>
        <w:jc w:val="both"/>
      </w:pPr>
      <w:r>
        <w:rPr/>
        <w:t>A</w:t>
      </w:r>
      <w:r>
        <w:rPr>
          <w:spacing w:val="-34"/>
        </w:rPr>
        <w:t> </w:t>
      </w:r>
      <w:r>
        <w:rPr>
          <w:spacing w:val="-4"/>
        </w:rPr>
        <w:t>Administração</w:t>
      </w:r>
      <w:r>
        <w:rPr>
          <w:spacing w:val="-34"/>
        </w:rPr>
        <w:t> </w:t>
      </w:r>
      <w:r>
        <w:rPr/>
        <w:t>da</w:t>
      </w:r>
      <w:r>
        <w:rPr>
          <w:spacing w:val="-34"/>
        </w:rPr>
        <w:t> </w:t>
      </w:r>
      <w:r>
        <w:rPr>
          <w:spacing w:val="-4"/>
        </w:rPr>
        <w:t>Hemobrás,</w:t>
      </w:r>
      <w:r>
        <w:rPr>
          <w:spacing w:val="-33"/>
        </w:rPr>
        <w:t> </w:t>
      </w:r>
      <w:r>
        <w:rPr>
          <w:spacing w:val="-3"/>
        </w:rPr>
        <w:t>após</w:t>
      </w:r>
      <w:r>
        <w:rPr>
          <w:spacing w:val="-34"/>
        </w:rPr>
        <w:t> </w:t>
      </w:r>
      <w:r>
        <w:rPr>
          <w:spacing w:val="-4"/>
        </w:rPr>
        <w:t>análise,</w:t>
      </w:r>
      <w:r>
        <w:rPr>
          <w:spacing w:val="-34"/>
        </w:rPr>
        <w:t> </w:t>
      </w:r>
      <w:r>
        <w:rPr>
          <w:spacing w:val="-4"/>
        </w:rPr>
        <w:t>procedeu</w:t>
      </w:r>
      <w:r>
        <w:rPr>
          <w:spacing w:val="-34"/>
        </w:rPr>
        <w:t> </w:t>
      </w:r>
      <w:r>
        <w:rPr/>
        <w:t>à</w:t>
      </w:r>
      <w:r>
        <w:rPr>
          <w:spacing w:val="-33"/>
        </w:rPr>
        <w:t> </w:t>
      </w:r>
      <w:r>
        <w:rPr>
          <w:spacing w:val="-4"/>
        </w:rPr>
        <w:t>reclassificação</w:t>
      </w:r>
      <w:r>
        <w:rPr>
          <w:spacing w:val="-34"/>
        </w:rPr>
        <w:t> </w:t>
      </w:r>
      <w:r>
        <w:rPr>
          <w:spacing w:val="-4"/>
        </w:rPr>
        <w:t>contábil</w:t>
      </w:r>
      <w:r>
        <w:rPr>
          <w:spacing w:val="-34"/>
        </w:rPr>
        <w:t> </w:t>
      </w:r>
      <w:r>
        <w:rPr>
          <w:spacing w:val="-3"/>
        </w:rPr>
        <w:t>dos</w:t>
      </w:r>
      <w:r>
        <w:rPr>
          <w:spacing w:val="-34"/>
        </w:rPr>
        <w:t> </w:t>
      </w:r>
      <w:r>
        <w:rPr>
          <w:spacing w:val="-4"/>
        </w:rPr>
        <w:t>itens</w:t>
      </w:r>
      <w:r>
        <w:rPr>
          <w:spacing w:val="-33"/>
        </w:rPr>
        <w:t> </w:t>
      </w:r>
      <w:r>
        <w:rPr>
          <w:spacing w:val="-5"/>
        </w:rPr>
        <w:t>registrados </w:t>
      </w:r>
      <w:r>
        <w:rPr/>
        <w:t>na conta matéria-prima – plasma, no montante de R$ 9.416.841, para a conta matéria-prima – plasma</w:t>
      </w:r>
      <w:r>
        <w:rPr>
          <w:spacing w:val="-1"/>
        </w:rPr>
        <w:t> </w:t>
      </w:r>
      <w:r>
        <w:rPr/>
        <w:t>(FE).</w:t>
      </w:r>
    </w:p>
    <w:p>
      <w:pPr>
        <w:pStyle w:val="BodyText"/>
        <w:spacing w:line="247" w:lineRule="auto" w:before="143"/>
        <w:ind w:left="137" w:right="114" w:firstLine="226"/>
        <w:jc w:val="both"/>
      </w:pPr>
      <w:r>
        <w:rPr/>
        <w:t>O estoque de plasma sob a responsabilidade do Laboratório Francês de Fracionamento e Biotecnologia – LFB, no montante de R$ 12.351.077, foi em sua totalidade classificado para a conta de provisão para perda de estoque no exercício de 2019.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ind w:left="137" w:firstLine="0"/>
        <w:jc w:val="both"/>
        <w:rPr>
          <w:b w:val="0"/>
        </w:rPr>
      </w:pPr>
      <w:r>
        <w:rPr>
          <w:b w:val="0"/>
        </w:rPr>
        <w:t>Medicamentos Hemoderivados</w:t>
      </w:r>
    </w:p>
    <w:p>
      <w:pPr>
        <w:pStyle w:val="BodyText"/>
        <w:spacing w:line="247" w:lineRule="auto" w:before="171"/>
        <w:ind w:left="137" w:right="113" w:firstLine="226"/>
        <w:jc w:val="both"/>
      </w:pPr>
      <w:r>
        <w:rPr/>
        <w:t>Em</w:t>
      </w:r>
      <w:r>
        <w:rPr>
          <w:spacing w:val="-10"/>
        </w:rPr>
        <w:t> </w:t>
      </w:r>
      <w:r>
        <w:rPr/>
        <w:t>2019,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LFB</w:t>
      </w:r>
      <w:r>
        <w:rPr>
          <w:spacing w:val="-9"/>
        </w:rPr>
        <w:t> </w:t>
      </w:r>
      <w:r>
        <w:rPr/>
        <w:t>recolheu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medicamentos</w:t>
      </w:r>
      <w:r>
        <w:rPr>
          <w:spacing w:val="-10"/>
        </w:rPr>
        <w:t> </w:t>
      </w:r>
      <w:r>
        <w:rPr/>
        <w:t>hemoderivados</w:t>
      </w:r>
      <w:r>
        <w:rPr>
          <w:spacing w:val="-10"/>
        </w:rPr>
        <w:t> </w:t>
      </w:r>
      <w:r>
        <w:rPr/>
        <w:t>fora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especificação</w:t>
      </w:r>
      <w:r>
        <w:rPr>
          <w:spacing w:val="-9"/>
        </w:rPr>
        <w:t> </w:t>
      </w:r>
      <w:r>
        <w:rPr/>
        <w:t>armazenados na</w:t>
      </w:r>
      <w:r>
        <w:rPr>
          <w:spacing w:val="-20"/>
        </w:rPr>
        <w:t> </w:t>
      </w:r>
      <w:r>
        <w:rPr/>
        <w:t>Hemobrás,</w:t>
      </w:r>
      <w:r>
        <w:rPr>
          <w:spacing w:val="-20"/>
        </w:rPr>
        <w:t> </w:t>
      </w:r>
      <w:r>
        <w:rPr/>
        <w:t>no</w:t>
      </w:r>
      <w:r>
        <w:rPr>
          <w:spacing w:val="-19"/>
        </w:rPr>
        <w:t> </w:t>
      </w:r>
      <w:r>
        <w:rPr/>
        <w:t>montante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R$</w:t>
      </w:r>
      <w:r>
        <w:rPr>
          <w:spacing w:val="-19"/>
        </w:rPr>
        <w:t> </w:t>
      </w:r>
      <w:r>
        <w:rPr/>
        <w:t>12.279.069,</w:t>
      </w:r>
      <w:r>
        <w:rPr>
          <w:spacing w:val="-20"/>
        </w:rPr>
        <w:t> </w:t>
      </w:r>
      <w:r>
        <w:rPr/>
        <w:t>os</w:t>
      </w:r>
      <w:r>
        <w:rPr>
          <w:spacing w:val="-20"/>
        </w:rPr>
        <w:t> </w:t>
      </w:r>
      <w:r>
        <w:rPr/>
        <w:t>quais</w:t>
      </w:r>
      <w:r>
        <w:rPr>
          <w:spacing w:val="-20"/>
        </w:rPr>
        <w:t> </w:t>
      </w:r>
      <w:r>
        <w:rPr/>
        <w:t>serão</w:t>
      </w:r>
      <w:r>
        <w:rPr>
          <w:spacing w:val="-19"/>
        </w:rPr>
        <w:t> </w:t>
      </w:r>
      <w:r>
        <w:rPr/>
        <w:t>ressarcidos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partir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2020,</w:t>
      </w:r>
      <w:r>
        <w:rPr>
          <w:spacing w:val="-20"/>
        </w:rPr>
        <w:t> </w:t>
      </w:r>
      <w:r>
        <w:rPr/>
        <w:t>conforme acordo firmado entre as</w:t>
      </w:r>
      <w:r>
        <w:rPr>
          <w:spacing w:val="-1"/>
        </w:rPr>
        <w:t> </w:t>
      </w:r>
      <w:r>
        <w:rPr/>
        <w:t>partes.</w:t>
      </w:r>
    </w:p>
    <w:p>
      <w:pPr>
        <w:pStyle w:val="BodyText"/>
        <w:spacing w:before="143"/>
        <w:ind w:left="364"/>
      </w:pPr>
      <w:r>
        <w:rPr/>
        <w:t>Em</w:t>
      </w:r>
      <w:r>
        <w:rPr>
          <w:spacing w:val="-17"/>
        </w:rPr>
        <w:t> </w:t>
      </w:r>
      <w:r>
        <w:rPr/>
        <w:t>2019,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Hemobrás</w:t>
      </w:r>
      <w:r>
        <w:rPr>
          <w:spacing w:val="-17"/>
        </w:rPr>
        <w:t> </w:t>
      </w:r>
      <w:r>
        <w:rPr/>
        <w:t>reconheceu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perda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/>
        <w:t>seu</w:t>
      </w:r>
      <w:r>
        <w:rPr>
          <w:spacing w:val="-15"/>
        </w:rPr>
        <w:t> </w:t>
      </w:r>
      <w:r>
        <w:rPr/>
        <w:t>resultado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montante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(R$</w:t>
      </w:r>
      <w:r>
        <w:rPr>
          <w:spacing w:val="-15"/>
        </w:rPr>
        <w:t> </w:t>
      </w:r>
      <w:r>
        <w:rPr/>
        <w:t>12.348.564),</w:t>
      </w:r>
    </w:p>
    <w:p>
      <w:pPr>
        <w:pStyle w:val="BodyText"/>
        <w:spacing w:before="8"/>
        <w:ind w:left="137"/>
        <w:jc w:val="both"/>
      </w:pPr>
      <w:r>
        <w:rPr/>
        <w:t>registrado em 2018 como provisão para perda.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899998</wp:posOffset>
            </wp:positionH>
            <wp:positionV relativeFrom="paragraph">
              <wp:posOffset>109530</wp:posOffset>
            </wp:positionV>
            <wp:extent cx="5771869" cy="2907792"/>
            <wp:effectExtent l="0" t="0" r="0" b="0"/>
            <wp:wrapTopAndBottom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869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488" w:val="left" w:leader="none"/>
          <w:tab w:pos="490" w:val="left" w:leader="none"/>
        </w:tabs>
        <w:spacing w:line="240" w:lineRule="auto" w:before="73" w:after="0"/>
        <w:ind w:left="489" w:right="0" w:hanging="353"/>
        <w:jc w:val="left"/>
        <w:rPr>
          <w:b w:val="0"/>
        </w:rPr>
      </w:pPr>
      <w:r>
        <w:rPr>
          <w:b w:val="0"/>
          <w:color w:val="9D534E"/>
        </w:rPr>
        <w:t>IMPOSTOS A</w:t>
      </w:r>
      <w:r>
        <w:rPr>
          <w:b w:val="0"/>
          <w:color w:val="9D534E"/>
          <w:spacing w:val="-4"/>
        </w:rPr>
        <w:t> </w:t>
      </w:r>
      <w:r>
        <w:rPr>
          <w:b w:val="0"/>
          <w:color w:val="9D534E"/>
        </w:rPr>
        <w:t>RECUPERAR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 w:before="1"/>
        <w:ind w:left="137" w:right="113" w:firstLine="226"/>
        <w:jc w:val="both"/>
      </w:pPr>
      <w:r>
        <w:rPr/>
        <w:t>Em</w:t>
      </w:r>
      <w:r>
        <w:rPr>
          <w:spacing w:val="-25"/>
        </w:rPr>
        <w:t> </w:t>
      </w:r>
      <w:r>
        <w:rPr/>
        <w:t>relação</w:t>
      </w:r>
      <w:r>
        <w:rPr>
          <w:spacing w:val="-24"/>
        </w:rPr>
        <w:t> </w:t>
      </w:r>
      <w:r>
        <w:rPr/>
        <w:t>aos</w:t>
      </w:r>
      <w:r>
        <w:rPr>
          <w:spacing w:val="-25"/>
        </w:rPr>
        <w:t> </w:t>
      </w:r>
      <w:r>
        <w:rPr/>
        <w:t>tributos</w:t>
      </w:r>
      <w:r>
        <w:rPr>
          <w:spacing w:val="-24"/>
        </w:rPr>
        <w:t> </w:t>
      </w:r>
      <w:r>
        <w:rPr/>
        <w:t>recuperáveis,</w:t>
      </w:r>
      <w:r>
        <w:rPr>
          <w:spacing w:val="-25"/>
        </w:rPr>
        <w:t> </w:t>
      </w:r>
      <w:r>
        <w:rPr/>
        <w:t>houve</w:t>
      </w:r>
      <w:r>
        <w:rPr>
          <w:spacing w:val="-24"/>
        </w:rPr>
        <w:t> </w:t>
      </w:r>
      <w:r>
        <w:rPr/>
        <w:t>aproveitamento</w:t>
      </w:r>
      <w:r>
        <w:rPr>
          <w:spacing w:val="-24"/>
        </w:rPr>
        <w:t> </w:t>
      </w:r>
      <w:r>
        <w:rPr/>
        <w:t>dos</w:t>
      </w:r>
      <w:r>
        <w:rPr>
          <w:spacing w:val="-25"/>
        </w:rPr>
        <w:t> </w:t>
      </w:r>
      <w:r>
        <w:rPr/>
        <w:t>créditos</w:t>
      </w:r>
      <w:r>
        <w:rPr>
          <w:spacing w:val="-24"/>
        </w:rPr>
        <w:t> </w:t>
      </w:r>
      <w:r>
        <w:rPr/>
        <w:t>tributários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montante de R$ 28.333.604, decorrente das operações de venda de medicamentos para o Ministério da Saúde.</w:t>
      </w:r>
      <w:r>
        <w:rPr>
          <w:spacing w:val="-16"/>
        </w:rPr>
        <w:t> </w:t>
      </w:r>
      <w:r>
        <w:rPr/>
        <w:t>Em</w:t>
      </w:r>
      <w:r>
        <w:rPr>
          <w:spacing w:val="-15"/>
        </w:rPr>
        <w:t> </w:t>
      </w:r>
      <w:r>
        <w:rPr/>
        <w:t>2019,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saldo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impostos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recuperar</w:t>
      </w:r>
      <w:r>
        <w:rPr>
          <w:spacing w:val="-15"/>
        </w:rPr>
        <w:t> </w:t>
      </w:r>
      <w:r>
        <w:rPr/>
        <w:t>no</w:t>
      </w:r>
      <w:r>
        <w:rPr>
          <w:spacing w:val="-16"/>
        </w:rPr>
        <w:t> </w:t>
      </w:r>
      <w:r>
        <w:rPr/>
        <w:t>montante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R$</w:t>
      </w:r>
      <w:r>
        <w:rPr>
          <w:spacing w:val="-15"/>
        </w:rPr>
        <w:t> </w:t>
      </w:r>
      <w:r>
        <w:rPr/>
        <w:t>48.152.106</w:t>
      </w:r>
      <w:r>
        <w:rPr>
          <w:spacing w:val="-16"/>
        </w:rPr>
        <w:t> </w:t>
      </w:r>
      <w:r>
        <w:rPr/>
        <w:t>é</w:t>
      </w:r>
      <w:r>
        <w:rPr>
          <w:spacing w:val="-15"/>
        </w:rPr>
        <w:t> </w:t>
      </w:r>
      <w:r>
        <w:rPr/>
        <w:t>composto</w:t>
      </w:r>
      <w:r>
        <w:rPr>
          <w:spacing w:val="-15"/>
        </w:rPr>
        <w:t> </w:t>
      </w:r>
      <w:r>
        <w:rPr/>
        <w:t>pelos seguintes</w:t>
      </w:r>
      <w:r>
        <w:rPr>
          <w:spacing w:val="-1"/>
        </w:rPr>
        <w:t> </w:t>
      </w:r>
      <w:r>
        <w:rPr/>
        <w:t>tributos:</w:t>
      </w:r>
    </w:p>
    <w:p>
      <w:pPr>
        <w:spacing w:after="0" w:line="247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5778721" cy="3358896"/>
            <wp:effectExtent l="0" t="0" r="0" b="0"/>
            <wp:docPr id="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721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488" w:val="left" w:leader="none"/>
          <w:tab w:pos="490" w:val="left" w:leader="none"/>
        </w:tabs>
        <w:spacing w:line="240" w:lineRule="auto" w:before="74" w:after="0"/>
        <w:ind w:left="489" w:right="0" w:hanging="353"/>
        <w:jc w:val="left"/>
        <w:rPr>
          <w:b w:val="0"/>
        </w:rPr>
      </w:pPr>
      <w:r>
        <w:rPr>
          <w:b w:val="0"/>
          <w:color w:val="9D534E"/>
          <w:spacing w:val="-3"/>
        </w:rPr>
        <w:t>ADIANTAMENTO </w:t>
      </w:r>
      <w:r>
        <w:rPr>
          <w:b w:val="0"/>
          <w:color w:val="9D534E"/>
        </w:rPr>
        <w:t>DE CONVÊNIOS E</w:t>
      </w:r>
      <w:r>
        <w:rPr>
          <w:b w:val="0"/>
          <w:color w:val="9D534E"/>
          <w:spacing w:val="-7"/>
        </w:rPr>
        <w:t> </w:t>
      </w:r>
      <w:r>
        <w:rPr>
          <w:b w:val="0"/>
          <w:color w:val="9D534E"/>
        </w:rPr>
        <w:t>ASSEMELHADOS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/>
        <w:ind w:left="137" w:right="115" w:firstLine="226"/>
        <w:jc w:val="both"/>
      </w:pPr>
      <w:r>
        <w:rPr/>
        <w:t>Em</w:t>
      </w:r>
      <w:r>
        <w:rPr>
          <w:spacing w:val="-26"/>
        </w:rPr>
        <w:t> </w:t>
      </w:r>
      <w:r>
        <w:rPr>
          <w:spacing w:val="-3"/>
        </w:rPr>
        <w:t>2019,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4"/>
        </w:rPr>
        <w:t>Hemobrás</w:t>
      </w:r>
      <w:r>
        <w:rPr>
          <w:spacing w:val="-25"/>
        </w:rPr>
        <w:t> </w:t>
      </w:r>
      <w:r>
        <w:rPr>
          <w:spacing w:val="-3"/>
        </w:rPr>
        <w:t>possui</w:t>
      </w:r>
      <w:r>
        <w:rPr>
          <w:spacing w:val="-26"/>
        </w:rPr>
        <w:t> </w:t>
      </w:r>
      <w:r>
        <w:rPr/>
        <w:t>um</w:t>
      </w:r>
      <w:r>
        <w:rPr>
          <w:spacing w:val="-25"/>
        </w:rPr>
        <w:t> </w:t>
      </w:r>
      <w:r>
        <w:rPr>
          <w:spacing w:val="-3"/>
        </w:rPr>
        <w:t>saldo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convênios</w:t>
      </w:r>
      <w:r>
        <w:rPr>
          <w:spacing w:val="-26"/>
        </w:rPr>
        <w:t> </w:t>
      </w:r>
      <w:r>
        <w:rPr/>
        <w:t>em</w:t>
      </w:r>
      <w:r>
        <w:rPr>
          <w:spacing w:val="-25"/>
        </w:rPr>
        <w:t> </w:t>
      </w:r>
      <w:r>
        <w:rPr/>
        <w:t>aberto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>
          <w:spacing w:val="-3"/>
        </w:rPr>
        <w:t>montante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R$</w:t>
      </w:r>
      <w:r>
        <w:rPr>
          <w:spacing w:val="-25"/>
        </w:rPr>
        <w:t> </w:t>
      </w:r>
      <w:r>
        <w:rPr>
          <w:spacing w:val="-3"/>
        </w:rPr>
        <w:t>3.344.150.</w:t>
      </w:r>
      <w:r>
        <w:rPr>
          <w:spacing w:val="-25"/>
        </w:rPr>
        <w:t> </w:t>
      </w:r>
      <w:r>
        <w:rPr>
          <w:spacing w:val="-3"/>
        </w:rPr>
        <w:t>Ainda </w:t>
      </w:r>
      <w:r>
        <w:rPr/>
        <w:t>nesse exercício foi finalizada a prestação de contas do convênio Coppetec, que foi reclassificado para</w:t>
      </w:r>
      <w:r>
        <w:rPr>
          <w:spacing w:val="-19"/>
        </w:rPr>
        <w:t> </w:t>
      </w:r>
      <w:r>
        <w:rPr/>
        <w:t>as</w:t>
      </w:r>
      <w:r>
        <w:rPr>
          <w:spacing w:val="-18"/>
        </w:rPr>
        <w:t> </w:t>
      </w:r>
      <w:r>
        <w:rPr/>
        <w:t>contas</w:t>
      </w:r>
      <w:r>
        <w:rPr>
          <w:spacing w:val="-20"/>
        </w:rPr>
        <w:t> </w:t>
      </w:r>
      <w:r>
        <w:rPr/>
        <w:t>contábeis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material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consumo,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valor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R$</w:t>
      </w:r>
      <w:r>
        <w:rPr>
          <w:spacing w:val="-18"/>
        </w:rPr>
        <w:t> </w:t>
      </w:r>
      <w:r>
        <w:rPr/>
        <w:t>111.024,</w:t>
      </w:r>
      <w:r>
        <w:rPr>
          <w:spacing w:val="-20"/>
        </w:rPr>
        <w:t> </w:t>
      </w:r>
      <w:r>
        <w:rPr/>
        <w:t>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serviços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terceiros</w:t>
      </w: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40" w:lineRule="auto" w:before="1" w:after="0"/>
        <w:ind w:left="327" w:right="0" w:hanging="191"/>
        <w:jc w:val="both"/>
        <w:rPr>
          <w:rFonts w:ascii="RobotoRegular" w:hAnsi="RobotoRegular"/>
          <w:sz w:val="21"/>
        </w:rPr>
      </w:pPr>
      <w:r>
        <w:rPr>
          <w:rFonts w:ascii="RobotoRegular" w:hAnsi="RobotoRegular"/>
          <w:sz w:val="21"/>
        </w:rPr>
        <w:t>pessoa jurídica, no valor de R$</w:t>
      </w:r>
      <w:r>
        <w:rPr>
          <w:rFonts w:ascii="RobotoRegular" w:hAnsi="RobotoRegular"/>
          <w:spacing w:val="-1"/>
          <w:sz w:val="21"/>
        </w:rPr>
        <w:t> </w:t>
      </w:r>
      <w:r>
        <w:rPr>
          <w:rFonts w:ascii="RobotoRegular" w:hAnsi="RobotoRegular"/>
          <w:sz w:val="21"/>
        </w:rPr>
        <w:t>17.554,44.</w:t>
      </w:r>
    </w:p>
    <w:p>
      <w:pPr>
        <w:pStyle w:val="BodyText"/>
        <w:spacing w:line="247" w:lineRule="auto" w:before="150"/>
        <w:ind w:left="137" w:right="116" w:firstLine="226"/>
        <w:jc w:val="both"/>
      </w:pPr>
      <w:r>
        <w:rPr/>
        <w:t>Os</w:t>
      </w:r>
      <w:r>
        <w:rPr>
          <w:spacing w:val="-17"/>
        </w:rPr>
        <w:t> </w:t>
      </w:r>
      <w:r>
        <w:rPr/>
        <w:t>convênios</w:t>
      </w:r>
      <w:r>
        <w:rPr>
          <w:spacing w:val="-17"/>
        </w:rPr>
        <w:t> </w:t>
      </w:r>
      <w:r>
        <w:rPr/>
        <w:t>listados</w:t>
      </w:r>
      <w:r>
        <w:rPr>
          <w:spacing w:val="-17"/>
        </w:rPr>
        <w:t> </w:t>
      </w:r>
      <w:r>
        <w:rPr/>
        <w:t>abaixo</w:t>
      </w:r>
      <w:r>
        <w:rPr>
          <w:spacing w:val="-17"/>
        </w:rPr>
        <w:t> </w:t>
      </w:r>
      <w:r>
        <w:rPr/>
        <w:t>foram</w:t>
      </w:r>
      <w:r>
        <w:rPr>
          <w:spacing w:val="-17"/>
        </w:rPr>
        <w:t> </w:t>
      </w:r>
      <w:r>
        <w:rPr/>
        <w:t>apresentados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Hemobrás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prestação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contas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ainda estão sendo analisados pela área</w:t>
      </w:r>
      <w:r>
        <w:rPr>
          <w:spacing w:val="-1"/>
        </w:rPr>
        <w:t> </w:t>
      </w:r>
      <w:r>
        <w:rPr/>
        <w:t>responsável.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899998</wp:posOffset>
            </wp:positionH>
            <wp:positionV relativeFrom="paragraph">
              <wp:posOffset>110321</wp:posOffset>
            </wp:positionV>
            <wp:extent cx="5681583" cy="2562320"/>
            <wp:effectExtent l="0" t="0" r="0" b="0"/>
            <wp:wrapTopAndBottom/>
            <wp:docPr id="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583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0"/>
          <w:numId w:val="1"/>
        </w:numPr>
        <w:tabs>
          <w:tab w:pos="488" w:val="left" w:leader="none"/>
          <w:tab w:pos="490" w:val="left" w:leader="none"/>
        </w:tabs>
        <w:spacing w:line="240" w:lineRule="auto" w:before="63" w:after="0"/>
        <w:ind w:left="489" w:right="0" w:hanging="353"/>
        <w:jc w:val="left"/>
        <w:rPr>
          <w:b w:val="0"/>
        </w:rPr>
      </w:pPr>
      <w:r>
        <w:rPr>
          <w:b w:val="0"/>
          <w:color w:val="9D534E"/>
        </w:rPr>
        <w:t>OUTROS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CRÉDITOS</w:t>
      </w:r>
    </w:p>
    <w:p>
      <w:pPr>
        <w:pStyle w:val="BodyText"/>
        <w:spacing w:before="3"/>
        <w:rPr>
          <w:rFonts w:ascii="Roboto"/>
          <w:b w:val="0"/>
          <w:sz w:val="10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899998</wp:posOffset>
            </wp:positionH>
            <wp:positionV relativeFrom="paragraph">
              <wp:posOffset>110766</wp:posOffset>
            </wp:positionV>
            <wp:extent cx="5793993" cy="1627631"/>
            <wp:effectExtent l="0" t="0" r="0" b="0"/>
            <wp:wrapTopAndBottom/>
            <wp:docPr id="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993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Roboto"/>
          <w:b w:val="0"/>
          <w:sz w:val="34"/>
        </w:rPr>
      </w:pPr>
    </w:p>
    <w:p>
      <w:pPr>
        <w:pStyle w:val="ListParagraph"/>
        <w:numPr>
          <w:ilvl w:val="1"/>
          <w:numId w:val="4"/>
        </w:numPr>
        <w:tabs>
          <w:tab w:pos="558" w:val="left" w:leader="none"/>
        </w:tabs>
        <w:spacing w:line="240" w:lineRule="auto" w:before="1" w:after="0"/>
        <w:ind w:left="557" w:right="0" w:hanging="421"/>
        <w:jc w:val="left"/>
        <w:rPr>
          <w:b w:val="0"/>
          <w:sz w:val="22"/>
        </w:rPr>
      </w:pPr>
      <w:r>
        <w:rPr>
          <w:b w:val="0"/>
          <w:sz w:val="22"/>
        </w:rPr>
        <w:t>Encargos a Recuperar –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Fornecedor</w:t>
      </w:r>
    </w:p>
    <w:p>
      <w:pPr>
        <w:pStyle w:val="BodyText"/>
        <w:spacing w:line="266" w:lineRule="auto" w:before="190"/>
        <w:ind w:left="137" w:right="114" w:firstLine="226"/>
        <w:jc w:val="both"/>
      </w:pPr>
      <w:r>
        <w:rPr/>
        <w:t>A</w:t>
      </w:r>
      <w:r>
        <w:rPr>
          <w:spacing w:val="-25"/>
        </w:rPr>
        <w:t> </w:t>
      </w:r>
      <w:r>
        <w:rPr/>
        <w:t>conta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Encargos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4"/>
        </w:rPr>
        <w:t>Recuperar,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montante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R$</w:t>
      </w:r>
      <w:r>
        <w:rPr>
          <w:spacing w:val="-24"/>
        </w:rPr>
        <w:t> </w:t>
      </w:r>
      <w:r>
        <w:rPr/>
        <w:t>6.574.998,</w:t>
      </w:r>
      <w:r>
        <w:rPr>
          <w:spacing w:val="-24"/>
        </w:rPr>
        <w:t> </w:t>
      </w:r>
      <w:r>
        <w:rPr/>
        <w:t>é</w:t>
      </w:r>
      <w:r>
        <w:rPr>
          <w:spacing w:val="-24"/>
        </w:rPr>
        <w:t> </w:t>
      </w:r>
      <w:r>
        <w:rPr/>
        <w:t>composta</w:t>
      </w:r>
      <w:r>
        <w:rPr>
          <w:spacing w:val="-24"/>
        </w:rPr>
        <w:t> </w:t>
      </w:r>
      <w:r>
        <w:rPr/>
        <w:t>pelas</w:t>
      </w:r>
      <w:r>
        <w:rPr>
          <w:spacing w:val="-24"/>
        </w:rPr>
        <w:t> </w:t>
      </w:r>
      <w:r>
        <w:rPr/>
        <w:t>notas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crédito </w:t>
      </w:r>
      <w:r>
        <w:rPr/>
        <w:t>de</w:t>
      </w:r>
      <w:r>
        <w:rPr>
          <w:spacing w:val="-18"/>
        </w:rPr>
        <w:t> </w:t>
      </w:r>
      <w:r>
        <w:rPr/>
        <w:t>valores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serem</w:t>
      </w:r>
      <w:r>
        <w:rPr>
          <w:spacing w:val="-17"/>
        </w:rPr>
        <w:t> </w:t>
      </w:r>
      <w:r>
        <w:rPr/>
        <w:t>ressarcidos</w:t>
      </w:r>
      <w:r>
        <w:rPr>
          <w:spacing w:val="-17"/>
        </w:rPr>
        <w:t> </w:t>
      </w:r>
      <w:r>
        <w:rPr/>
        <w:t>pelo</w:t>
      </w:r>
      <w:r>
        <w:rPr>
          <w:spacing w:val="-17"/>
        </w:rPr>
        <w:t> </w:t>
      </w:r>
      <w:r>
        <w:rPr/>
        <w:t>transferidor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tecnologia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/>
        <w:t>medicamentos</w:t>
      </w:r>
      <w:r>
        <w:rPr>
          <w:spacing w:val="-17"/>
        </w:rPr>
        <w:t> </w:t>
      </w:r>
      <w:r>
        <w:rPr/>
        <w:t>hemoderivados. Os valores foram renegociados e há previsão de ressarcimento após a assinatura de um aditivo contratual, que ocorrerá em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1"/>
          <w:numId w:val="4"/>
        </w:numPr>
        <w:tabs>
          <w:tab w:pos="564" w:val="left" w:leader="none"/>
        </w:tabs>
        <w:spacing w:line="240" w:lineRule="auto" w:before="0" w:after="0"/>
        <w:ind w:left="563" w:right="0" w:hanging="427"/>
        <w:jc w:val="left"/>
        <w:rPr>
          <w:b w:val="0"/>
        </w:rPr>
      </w:pPr>
      <w:r>
        <w:rPr>
          <w:b w:val="0"/>
        </w:rPr>
        <w:t>Seguros/Garantia a</w:t>
      </w:r>
      <w:r>
        <w:rPr>
          <w:b w:val="0"/>
          <w:spacing w:val="-3"/>
        </w:rPr>
        <w:t> </w:t>
      </w:r>
      <w:r>
        <w:rPr>
          <w:b w:val="0"/>
        </w:rPr>
        <w:t>Apropriar</w:t>
      </w:r>
    </w:p>
    <w:p>
      <w:pPr>
        <w:pStyle w:val="BodyText"/>
        <w:spacing w:before="191"/>
        <w:ind w:left="364"/>
      </w:pPr>
      <w:r>
        <w:rPr/>
        <w:t>O</w:t>
      </w:r>
      <w:r>
        <w:rPr>
          <w:spacing w:val="-18"/>
        </w:rPr>
        <w:t> </w:t>
      </w:r>
      <w:r>
        <w:rPr/>
        <w:t>saldo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conta</w:t>
      </w:r>
      <w:r>
        <w:rPr>
          <w:spacing w:val="-18"/>
        </w:rPr>
        <w:t> </w:t>
      </w:r>
      <w:r>
        <w:rPr/>
        <w:t>Seguros/Garantia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Apropriar,</w:t>
      </w:r>
      <w:r>
        <w:rPr>
          <w:spacing w:val="-18"/>
        </w:rPr>
        <w:t> </w:t>
      </w:r>
      <w:r>
        <w:rPr/>
        <w:t>no</w:t>
      </w:r>
      <w:r>
        <w:rPr>
          <w:spacing w:val="-17"/>
        </w:rPr>
        <w:t> </w:t>
      </w:r>
      <w:r>
        <w:rPr/>
        <w:t>valor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R$</w:t>
      </w:r>
      <w:r>
        <w:rPr>
          <w:spacing w:val="-17"/>
        </w:rPr>
        <w:t> </w:t>
      </w:r>
      <w:r>
        <w:rPr/>
        <w:t>487.210,</w:t>
      </w:r>
      <w:r>
        <w:rPr>
          <w:spacing w:val="-17"/>
        </w:rPr>
        <w:t> </w:t>
      </w:r>
      <w:r>
        <w:rPr/>
        <w:t>diz</w:t>
      </w:r>
      <w:r>
        <w:rPr>
          <w:spacing w:val="-17"/>
        </w:rPr>
        <w:t> </w:t>
      </w:r>
      <w:r>
        <w:rPr/>
        <w:t>respeito</w:t>
      </w:r>
      <w:r>
        <w:rPr>
          <w:spacing w:val="-18"/>
        </w:rPr>
        <w:t> </w:t>
      </w:r>
      <w:r>
        <w:rPr/>
        <w:t>à</w:t>
      </w:r>
      <w:r>
        <w:rPr>
          <w:spacing w:val="-17"/>
        </w:rPr>
        <w:t> </w:t>
      </w:r>
      <w:r>
        <w:rPr/>
        <w:t>contratação</w:t>
      </w:r>
    </w:p>
    <w:p>
      <w:pPr>
        <w:pStyle w:val="BodyText"/>
        <w:spacing w:before="27"/>
        <w:ind w:left="137"/>
      </w:pPr>
      <w:r>
        <w:rPr/>
        <w:t>de seguro total dos medicamentos, bens móveis e do parque fabril localizado em Goiana-PE.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1"/>
          <w:numId w:val="4"/>
        </w:numPr>
        <w:tabs>
          <w:tab w:pos="555" w:val="left" w:leader="none"/>
        </w:tabs>
        <w:spacing w:line="240" w:lineRule="auto" w:before="0" w:after="0"/>
        <w:ind w:left="554" w:right="0" w:hanging="418"/>
        <w:jc w:val="left"/>
        <w:rPr>
          <w:b w:val="0"/>
        </w:rPr>
      </w:pPr>
      <w:r>
        <w:rPr>
          <w:b w:val="0"/>
        </w:rPr>
        <w:t>Custos de Medicamentos a</w:t>
      </w:r>
      <w:r>
        <w:rPr>
          <w:b w:val="0"/>
          <w:spacing w:val="-6"/>
        </w:rPr>
        <w:t> </w:t>
      </w:r>
      <w:r>
        <w:rPr>
          <w:b w:val="0"/>
        </w:rPr>
        <w:t>Apropriar</w:t>
      </w:r>
    </w:p>
    <w:p>
      <w:pPr>
        <w:pStyle w:val="BodyText"/>
        <w:spacing w:line="266" w:lineRule="auto" w:before="190"/>
        <w:ind w:left="137" w:right="115" w:firstLine="226"/>
        <w:jc w:val="both"/>
      </w:pPr>
      <w:r>
        <w:rPr/>
        <w:t>O</w:t>
      </w:r>
      <w:r>
        <w:rPr>
          <w:spacing w:val="-18"/>
        </w:rPr>
        <w:t> </w:t>
      </w:r>
      <w:r>
        <w:rPr/>
        <w:t>saldo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conta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Custos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Medicamentos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Apropriar,</w:t>
      </w:r>
      <w:r>
        <w:rPr>
          <w:spacing w:val="-19"/>
        </w:rPr>
        <w:t> </w:t>
      </w:r>
      <w:r>
        <w:rPr/>
        <w:t>no</w:t>
      </w:r>
      <w:r>
        <w:rPr>
          <w:spacing w:val="-18"/>
        </w:rPr>
        <w:t> </w:t>
      </w:r>
      <w:r>
        <w:rPr/>
        <w:t>montante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R$</w:t>
      </w:r>
      <w:r>
        <w:rPr>
          <w:spacing w:val="-19"/>
        </w:rPr>
        <w:t> </w:t>
      </w:r>
      <w:r>
        <w:rPr/>
        <w:t>405.329,</w:t>
      </w:r>
      <w:r>
        <w:rPr>
          <w:spacing w:val="-18"/>
        </w:rPr>
        <w:t> </w:t>
      </w:r>
      <w:r>
        <w:rPr/>
        <w:t>refere-se</w:t>
      </w:r>
      <w:r>
        <w:rPr>
          <w:spacing w:val="-18"/>
        </w:rPr>
        <w:t> </w:t>
      </w:r>
      <w:r>
        <w:rPr/>
        <w:t>à composição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salário,</w:t>
      </w:r>
      <w:r>
        <w:rPr>
          <w:spacing w:val="-14"/>
        </w:rPr>
        <w:t> </w:t>
      </w:r>
      <w:r>
        <w:rPr/>
        <w:t>encargos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armazenamento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medicamentos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aeroporto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Recife-PE, a ser apropriado quando da nacionalização dos medicamentos recombinantes</w:t>
      </w:r>
      <w:r>
        <w:rPr>
          <w:spacing w:val="-14"/>
        </w:rPr>
        <w:t> </w:t>
      </w:r>
      <w:r>
        <w:rPr/>
        <w:t>importados.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166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DEPÓSITOS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JUDICIAIS</w:t>
      </w:r>
    </w:p>
    <w:p>
      <w:pPr>
        <w:pStyle w:val="BodyText"/>
        <w:spacing w:before="9"/>
        <w:rPr>
          <w:rFonts w:ascii="Roboto"/>
          <w:b w:val="0"/>
          <w:sz w:val="20"/>
        </w:rPr>
      </w:pPr>
    </w:p>
    <w:p>
      <w:pPr>
        <w:pStyle w:val="ListParagraph"/>
        <w:numPr>
          <w:ilvl w:val="1"/>
          <w:numId w:val="5"/>
        </w:numPr>
        <w:tabs>
          <w:tab w:pos="685" w:val="left" w:leader="none"/>
        </w:tabs>
        <w:spacing w:line="240" w:lineRule="auto" w:before="0" w:after="0"/>
        <w:ind w:left="684" w:right="0" w:hanging="548"/>
        <w:jc w:val="left"/>
        <w:rPr>
          <w:b w:val="0"/>
          <w:sz w:val="22"/>
        </w:rPr>
      </w:pPr>
      <w:r>
        <w:rPr>
          <w:b w:val="0"/>
          <w:sz w:val="22"/>
        </w:rPr>
        <w:t>Outros Créditos – Depósitos Judiciais –</w:t>
      </w:r>
      <w:r>
        <w:rPr>
          <w:b w:val="0"/>
          <w:spacing w:val="-8"/>
          <w:sz w:val="22"/>
        </w:rPr>
        <w:t> </w:t>
      </w:r>
      <w:r>
        <w:rPr>
          <w:b w:val="0"/>
          <w:sz w:val="22"/>
        </w:rPr>
        <w:t>Circulante</w:t>
      </w:r>
    </w:p>
    <w:p>
      <w:pPr>
        <w:pStyle w:val="BodyText"/>
        <w:spacing w:line="266" w:lineRule="auto" w:before="190"/>
        <w:ind w:left="137" w:right="113" w:firstLine="226"/>
        <w:jc w:val="both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899999</wp:posOffset>
            </wp:positionH>
            <wp:positionV relativeFrom="paragraph">
              <wp:posOffset>735000</wp:posOffset>
            </wp:positionV>
            <wp:extent cx="5796803" cy="890015"/>
            <wp:effectExtent l="0" t="0" r="0" b="0"/>
            <wp:wrapTopAndBottom/>
            <wp:docPr id="2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803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>
          <w:spacing w:val="-20"/>
        </w:rPr>
        <w:t> </w:t>
      </w:r>
      <w:r>
        <w:rPr/>
        <w:t>saldo</w:t>
      </w:r>
      <w:r>
        <w:rPr>
          <w:spacing w:val="-18"/>
        </w:rPr>
        <w:t> </w:t>
      </w:r>
      <w:r>
        <w:rPr/>
        <w:t>da</w:t>
      </w:r>
      <w:r>
        <w:rPr>
          <w:spacing w:val="-18"/>
        </w:rPr>
        <w:t> </w:t>
      </w:r>
      <w:r>
        <w:rPr/>
        <w:t>conta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Depósitos</w:t>
      </w:r>
      <w:r>
        <w:rPr>
          <w:spacing w:val="-19"/>
        </w:rPr>
        <w:t> </w:t>
      </w:r>
      <w:r>
        <w:rPr/>
        <w:t>Judiciais,</w:t>
      </w:r>
      <w:r>
        <w:rPr>
          <w:spacing w:val="-19"/>
        </w:rPr>
        <w:t> </w:t>
      </w:r>
      <w:r>
        <w:rPr/>
        <w:t>classificados</w:t>
      </w:r>
      <w:r>
        <w:rPr>
          <w:spacing w:val="-19"/>
        </w:rPr>
        <w:t> </w:t>
      </w:r>
      <w:r>
        <w:rPr/>
        <w:t>em</w:t>
      </w:r>
      <w:r>
        <w:rPr>
          <w:spacing w:val="-19"/>
        </w:rPr>
        <w:t> </w:t>
      </w:r>
      <w:r>
        <w:rPr/>
        <w:t>Outros</w:t>
      </w:r>
      <w:r>
        <w:rPr>
          <w:spacing w:val="-20"/>
        </w:rPr>
        <w:t> </w:t>
      </w:r>
      <w:r>
        <w:rPr/>
        <w:t>Créditos,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Circulante,</w:t>
      </w:r>
      <w:r>
        <w:rPr>
          <w:spacing w:val="-19"/>
        </w:rPr>
        <w:t> </w:t>
      </w:r>
      <w:r>
        <w:rPr/>
        <w:t>totaliza o valor de R$ 274.569 e refere-se a depósitos recursais, que entraram no polo ativo da Hemobrás durante o exercício de 2018. Os valores são atualizados pela taxa</w:t>
      </w:r>
      <w:r>
        <w:rPr>
          <w:spacing w:val="-8"/>
        </w:rPr>
        <w:t> </w:t>
      </w:r>
      <w:r>
        <w:rPr/>
        <w:t>Selic.</w:t>
      </w:r>
    </w:p>
    <w:p>
      <w:pPr>
        <w:pStyle w:val="BodyText"/>
        <w:spacing w:before="3"/>
        <w:rPr>
          <w:sz w:val="29"/>
        </w:rPr>
      </w:pPr>
    </w:p>
    <w:p>
      <w:pPr>
        <w:pStyle w:val="Heading1"/>
        <w:numPr>
          <w:ilvl w:val="1"/>
          <w:numId w:val="5"/>
        </w:numPr>
        <w:tabs>
          <w:tab w:pos="691" w:val="left" w:leader="none"/>
        </w:tabs>
        <w:spacing w:line="240" w:lineRule="auto" w:before="0" w:after="0"/>
        <w:ind w:left="690" w:right="0" w:hanging="554"/>
        <w:jc w:val="left"/>
        <w:rPr>
          <w:b w:val="0"/>
        </w:rPr>
      </w:pPr>
      <w:r>
        <w:rPr>
          <w:b w:val="0"/>
        </w:rPr>
        <w:t>Depósitos Judiciais – não</w:t>
      </w:r>
      <w:r>
        <w:rPr>
          <w:b w:val="0"/>
          <w:spacing w:val="-4"/>
        </w:rPr>
        <w:t> </w:t>
      </w:r>
      <w:r>
        <w:rPr>
          <w:b w:val="0"/>
        </w:rPr>
        <w:t>Circulante</w:t>
      </w:r>
    </w:p>
    <w:p>
      <w:pPr>
        <w:pStyle w:val="BodyText"/>
        <w:spacing w:line="266" w:lineRule="auto" w:before="190"/>
        <w:ind w:left="137" w:right="112" w:firstLine="226"/>
        <w:jc w:val="both"/>
      </w:pPr>
      <w:r>
        <w:rPr/>
        <w:t>Na</w:t>
      </w:r>
      <w:r>
        <w:rPr>
          <w:spacing w:val="-33"/>
        </w:rPr>
        <w:t> </w:t>
      </w:r>
      <w:r>
        <w:rPr/>
        <w:t>conta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Depósitos</w:t>
      </w:r>
      <w:r>
        <w:rPr>
          <w:spacing w:val="-33"/>
        </w:rPr>
        <w:t> </w:t>
      </w:r>
      <w:r>
        <w:rPr/>
        <w:t>Judiciais</w:t>
      </w:r>
      <w:r>
        <w:rPr>
          <w:spacing w:val="-32"/>
        </w:rPr>
        <w:t> </w:t>
      </w:r>
      <w:r>
        <w:rPr/>
        <w:t>estão</w:t>
      </w:r>
      <w:r>
        <w:rPr>
          <w:spacing w:val="-32"/>
        </w:rPr>
        <w:t> </w:t>
      </w:r>
      <w:r>
        <w:rPr/>
        <w:t>reconhecidos,</w:t>
      </w:r>
      <w:r>
        <w:rPr>
          <w:spacing w:val="-32"/>
        </w:rPr>
        <w:t> </w:t>
      </w:r>
      <w:r>
        <w:rPr/>
        <w:t>principalmente,</w:t>
      </w:r>
      <w:r>
        <w:rPr>
          <w:spacing w:val="-32"/>
        </w:rPr>
        <w:t> </w:t>
      </w:r>
      <w:r>
        <w:rPr/>
        <w:t>os</w:t>
      </w:r>
      <w:r>
        <w:rPr>
          <w:spacing w:val="-33"/>
        </w:rPr>
        <w:t> </w:t>
      </w:r>
      <w:r>
        <w:rPr/>
        <w:t>depósitos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2"/>
        </w:rPr>
        <w:t>Contribuição </w:t>
      </w:r>
      <w:r>
        <w:rPr/>
        <w:t>Social</w:t>
      </w:r>
      <w:r>
        <w:rPr>
          <w:spacing w:val="-8"/>
        </w:rPr>
        <w:t> </w:t>
      </w:r>
      <w:r>
        <w:rPr/>
        <w:t>sobre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Lucro</w:t>
      </w:r>
      <w:r>
        <w:rPr>
          <w:spacing w:val="-8"/>
        </w:rPr>
        <w:t> </w:t>
      </w:r>
      <w:r>
        <w:rPr/>
        <w:t>Líquido</w:t>
      </w:r>
      <w:r>
        <w:rPr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CSLL</w:t>
      </w:r>
      <w:r>
        <w:rPr>
          <w:spacing w:val="-7"/>
        </w:rPr>
        <w:t> </w:t>
      </w:r>
      <w:r>
        <w:rPr/>
        <w:t>oriundos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processo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pedido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imunidade</w:t>
      </w:r>
      <w:r>
        <w:rPr>
          <w:spacing w:val="-8"/>
        </w:rPr>
        <w:t> </w:t>
      </w:r>
      <w:r>
        <w:rPr/>
        <w:t>tributária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um depósito</w:t>
      </w:r>
      <w:r>
        <w:rPr>
          <w:spacing w:val="-13"/>
        </w:rPr>
        <w:t> </w:t>
      </w:r>
      <w:r>
        <w:rPr/>
        <w:t>recursal.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valores</w:t>
      </w:r>
      <w:r>
        <w:rPr>
          <w:spacing w:val="-12"/>
        </w:rPr>
        <w:t> </w:t>
      </w:r>
      <w:r>
        <w:rPr/>
        <w:t>estão</w:t>
      </w:r>
      <w:r>
        <w:rPr>
          <w:spacing w:val="-12"/>
        </w:rPr>
        <w:t> </w:t>
      </w:r>
      <w:r>
        <w:rPr/>
        <w:t>sendo</w:t>
      </w:r>
      <w:r>
        <w:rPr>
          <w:spacing w:val="-12"/>
        </w:rPr>
        <w:t> </w:t>
      </w:r>
      <w:r>
        <w:rPr/>
        <w:t>atualizados</w:t>
      </w:r>
      <w:r>
        <w:rPr>
          <w:spacing w:val="-12"/>
        </w:rPr>
        <w:t> </w:t>
      </w:r>
      <w:r>
        <w:rPr/>
        <w:t>pela</w:t>
      </w:r>
      <w:r>
        <w:rPr>
          <w:spacing w:val="-12"/>
        </w:rPr>
        <w:t> </w:t>
      </w:r>
      <w:r>
        <w:rPr/>
        <w:t>Selic,</w:t>
      </w:r>
      <w:r>
        <w:rPr>
          <w:spacing w:val="-12"/>
        </w:rPr>
        <w:t> </w:t>
      </w:r>
      <w:r>
        <w:rPr/>
        <w:t>porém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atualizações</w:t>
      </w:r>
      <w:r>
        <w:rPr>
          <w:spacing w:val="-12"/>
        </w:rPr>
        <w:t> </w:t>
      </w:r>
      <w:r>
        <w:rPr/>
        <w:t>referentes aos depósitos da CSLL estão sendo classificadas como contingências no Passivo Circulante.     O saldo da conta em 31 de dezembro de 2019 era de R$</w:t>
      </w:r>
      <w:r>
        <w:rPr>
          <w:spacing w:val="-5"/>
        </w:rPr>
        <w:t> </w:t>
      </w:r>
      <w:r>
        <w:rPr/>
        <w:t>3.164.121.</w:t>
      </w:r>
    </w:p>
    <w:p>
      <w:pPr>
        <w:spacing w:after="0" w:line="266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63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IMOBILIZADO</w:t>
      </w:r>
    </w:p>
    <w:p>
      <w:pPr>
        <w:pStyle w:val="BodyText"/>
        <w:spacing w:before="13"/>
        <w:rPr>
          <w:rFonts w:ascii="Roboto"/>
          <w:b w:val="0"/>
        </w:rPr>
      </w:pPr>
    </w:p>
    <w:p>
      <w:pPr>
        <w:pStyle w:val="BodyText"/>
        <w:spacing w:line="252" w:lineRule="auto"/>
        <w:ind w:left="137" w:right="113" w:firstLine="226"/>
        <w:jc w:val="both"/>
      </w:pPr>
      <w:r>
        <w:rPr/>
        <w:t>No</w:t>
      </w:r>
      <w:r>
        <w:rPr>
          <w:spacing w:val="-10"/>
        </w:rPr>
        <w:t> </w:t>
      </w:r>
      <w:r>
        <w:rPr/>
        <w:t>imobilizado</w:t>
      </w:r>
      <w:r>
        <w:rPr>
          <w:spacing w:val="-9"/>
        </w:rPr>
        <w:t> </w:t>
      </w:r>
      <w:r>
        <w:rPr/>
        <w:t>estão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bens</w:t>
      </w:r>
      <w:r>
        <w:rPr>
          <w:spacing w:val="-9"/>
        </w:rPr>
        <w:t> </w:t>
      </w:r>
      <w:r>
        <w:rPr/>
        <w:t>destinados</w:t>
      </w:r>
      <w:r>
        <w:rPr>
          <w:spacing w:val="-10"/>
        </w:rPr>
        <w:t> </w:t>
      </w:r>
      <w:r>
        <w:rPr/>
        <w:t>à</w:t>
      </w:r>
      <w:r>
        <w:rPr>
          <w:spacing w:val="-9"/>
        </w:rPr>
        <w:t> </w:t>
      </w:r>
      <w:r>
        <w:rPr/>
        <w:t>operação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Hemobrás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são</w:t>
      </w:r>
      <w:r>
        <w:rPr>
          <w:spacing w:val="-10"/>
        </w:rPr>
        <w:t> </w:t>
      </w:r>
      <w:r>
        <w:rPr/>
        <w:t>registrados</w:t>
      </w:r>
      <w:r>
        <w:rPr>
          <w:spacing w:val="-9"/>
        </w:rPr>
        <w:t> </w:t>
      </w:r>
      <w:r>
        <w:rPr/>
        <w:t>pelo</w:t>
      </w:r>
      <w:r>
        <w:rPr>
          <w:spacing w:val="-9"/>
        </w:rPr>
        <w:t> </w:t>
      </w:r>
      <w:r>
        <w:rPr/>
        <w:t>custo de aquisição, deduzidos das respectivas depreciações calculadas pelo método linear, mediante aplicação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taxas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levam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consideração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vida</w:t>
      </w:r>
      <w:r>
        <w:rPr>
          <w:spacing w:val="-8"/>
        </w:rPr>
        <w:t> </w:t>
      </w:r>
      <w:r>
        <w:rPr/>
        <w:t>útil</w:t>
      </w:r>
      <w:r>
        <w:rPr>
          <w:spacing w:val="-9"/>
        </w:rPr>
        <w:t> </w:t>
      </w:r>
      <w:r>
        <w:rPr/>
        <w:t>econômica</w:t>
      </w:r>
      <w:r>
        <w:rPr>
          <w:spacing w:val="-7"/>
        </w:rPr>
        <w:t> </w:t>
      </w:r>
      <w:r>
        <w:rPr/>
        <w:t>dos</w:t>
      </w:r>
      <w:r>
        <w:rPr>
          <w:spacing w:val="-8"/>
        </w:rPr>
        <w:t> </w:t>
      </w:r>
      <w:r>
        <w:rPr/>
        <w:t>bens,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provisão</w:t>
      </w:r>
      <w:r>
        <w:rPr>
          <w:spacing w:val="-8"/>
        </w:rPr>
        <w:t> </w:t>
      </w:r>
      <w:r>
        <w:rPr/>
        <w:t>para redução</w:t>
      </w:r>
      <w:r>
        <w:rPr>
          <w:spacing w:val="-7"/>
        </w:rPr>
        <w:t> </w:t>
      </w:r>
      <w:r>
        <w:rPr/>
        <w:t>ao</w:t>
      </w:r>
      <w:r>
        <w:rPr>
          <w:spacing w:val="-6"/>
        </w:rPr>
        <w:t> </w:t>
      </w:r>
      <w:r>
        <w:rPr/>
        <w:t>valor</w:t>
      </w:r>
      <w:r>
        <w:rPr>
          <w:spacing w:val="-6"/>
        </w:rPr>
        <w:t> </w:t>
      </w:r>
      <w:r>
        <w:rPr/>
        <w:t>recuperável</w:t>
      </w:r>
      <w:r>
        <w:rPr>
          <w:spacing w:val="-6"/>
        </w:rPr>
        <w:t> </w:t>
      </w:r>
      <w:r>
        <w:rPr/>
        <w:t>quando</w:t>
      </w:r>
      <w:r>
        <w:rPr>
          <w:spacing w:val="-7"/>
        </w:rPr>
        <w:t> </w:t>
      </w:r>
      <w:r>
        <w:rPr/>
        <w:t>houver</w:t>
      </w:r>
      <w:r>
        <w:rPr>
          <w:spacing w:val="-6"/>
        </w:rPr>
        <w:t> </w:t>
      </w:r>
      <w:r>
        <w:rPr/>
        <w:t>indicação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valor</w:t>
      </w:r>
      <w:r>
        <w:rPr>
          <w:spacing w:val="-6"/>
        </w:rPr>
        <w:t> </w:t>
      </w:r>
      <w:r>
        <w:rPr/>
        <w:t>contábil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bens</w:t>
      </w:r>
      <w:r>
        <w:rPr>
          <w:spacing w:val="-7"/>
        </w:rPr>
        <w:t> </w:t>
      </w:r>
      <w:r>
        <w:rPr/>
        <w:t>é</w:t>
      </w:r>
      <w:r>
        <w:rPr>
          <w:spacing w:val="-6"/>
        </w:rPr>
        <w:t> </w:t>
      </w:r>
      <w:r>
        <w:rPr/>
        <w:t>superior aos valores de recuperação. O valor contábil do imobilizado em 31 de dezembro de 2019 era de R$ 855.004.029.</w:t>
      </w:r>
    </w:p>
    <w:p>
      <w:pPr>
        <w:pStyle w:val="BodyText"/>
        <w:spacing w:line="252" w:lineRule="auto" w:before="145"/>
        <w:ind w:left="137" w:right="111" w:firstLine="226"/>
        <w:jc w:val="both"/>
      </w:pPr>
      <w:r>
        <w:rPr/>
        <w:t>No </w:t>
      </w:r>
      <w:r>
        <w:rPr>
          <w:spacing w:val="2"/>
        </w:rPr>
        <w:t>exercício </w:t>
      </w:r>
      <w:r>
        <w:rPr/>
        <w:t>de </w:t>
      </w:r>
      <w:r>
        <w:rPr>
          <w:spacing w:val="2"/>
        </w:rPr>
        <w:t>2019 </w:t>
      </w:r>
      <w:r>
        <w:rPr/>
        <w:t>foram </w:t>
      </w:r>
      <w:r>
        <w:rPr>
          <w:spacing w:val="2"/>
        </w:rPr>
        <w:t>transferidos </w:t>
      </w:r>
      <w:r>
        <w:rPr/>
        <w:t>para o </w:t>
      </w:r>
      <w:r>
        <w:rPr>
          <w:spacing w:val="2"/>
        </w:rPr>
        <w:t>imobilizado </w:t>
      </w:r>
      <w:r>
        <w:rPr/>
        <w:t>em </w:t>
      </w:r>
      <w:r>
        <w:rPr>
          <w:spacing w:val="2"/>
        </w:rPr>
        <w:t>operação </w:t>
      </w:r>
      <w:r>
        <w:rPr/>
        <w:t>o </w:t>
      </w:r>
      <w:r>
        <w:rPr>
          <w:spacing w:val="2"/>
        </w:rPr>
        <w:t>armazém </w:t>
      </w:r>
      <w:r>
        <w:rPr>
          <w:spacing w:val="3"/>
        </w:rPr>
        <w:t>de </w:t>
      </w:r>
      <w:r>
        <w:rPr>
          <w:spacing w:val="-3"/>
        </w:rPr>
        <w:t>medicamentos</w:t>
      </w:r>
      <w:r>
        <w:rPr>
          <w:spacing w:val="-26"/>
        </w:rPr>
        <w:t> </w:t>
      </w:r>
      <w:r>
        <w:rPr/>
        <w:t>(B05),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2"/>
        </w:rPr>
        <w:t>prédio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manutenção</w:t>
      </w:r>
      <w:r>
        <w:rPr>
          <w:spacing w:val="-26"/>
        </w:rPr>
        <w:t> </w:t>
      </w:r>
      <w:r>
        <w:rPr/>
        <w:t>(B12</w:t>
      </w:r>
      <w:r>
        <w:rPr>
          <w:spacing w:val="-25"/>
        </w:rPr>
        <w:t> </w:t>
      </w:r>
      <w:r>
        <w:rPr/>
        <w:t>e</w:t>
      </w:r>
      <w:r>
        <w:rPr>
          <w:spacing w:val="-26"/>
        </w:rPr>
        <w:t> </w:t>
      </w:r>
      <w:r>
        <w:rPr/>
        <w:t>B13),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reservatório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água</w:t>
      </w:r>
      <w:r>
        <w:rPr>
          <w:spacing w:val="-25"/>
        </w:rPr>
        <w:t> </w:t>
      </w:r>
      <w:r>
        <w:rPr/>
        <w:t>(B14),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subestação de 69kV (B18 e B19) e a guarita, que totalizaram o montante de R$</w:t>
      </w:r>
      <w:r>
        <w:rPr>
          <w:spacing w:val="-13"/>
        </w:rPr>
        <w:t> </w:t>
      </w:r>
      <w:r>
        <w:rPr/>
        <w:t>85.663.317.</w:t>
      </w:r>
    </w:p>
    <w:p>
      <w:pPr>
        <w:pStyle w:val="BodyText"/>
        <w:spacing w:line="252" w:lineRule="auto" w:before="144"/>
        <w:ind w:left="137" w:right="113" w:firstLine="226"/>
        <w:jc w:val="both"/>
      </w:pPr>
      <w:r>
        <w:rPr/>
        <w:t>Aplicamos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taxa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(4%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10%</w:t>
      </w:r>
      <w:r>
        <w:rPr>
          <w:spacing w:val="-22"/>
        </w:rPr>
        <w:t> </w:t>
      </w:r>
      <w:r>
        <w:rPr/>
        <w:t>ao</w:t>
      </w:r>
      <w:r>
        <w:rPr>
          <w:spacing w:val="-22"/>
        </w:rPr>
        <w:t> </w:t>
      </w:r>
      <w:r>
        <w:rPr/>
        <w:t>ano)</w:t>
      </w:r>
      <w:r>
        <w:rPr>
          <w:spacing w:val="-22"/>
        </w:rPr>
        <w:t> </w:t>
      </w:r>
      <w:r>
        <w:rPr>
          <w:spacing w:val="-3"/>
        </w:rPr>
        <w:t>para</w:t>
      </w:r>
      <w:r>
        <w:rPr>
          <w:spacing w:val="-22"/>
        </w:rPr>
        <w:t> </w:t>
      </w:r>
      <w:r>
        <w:rPr/>
        <w:t>máquinas</w:t>
      </w:r>
      <w:r>
        <w:rPr>
          <w:spacing w:val="-22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2"/>
        </w:rPr>
        <w:t>equipamentos</w:t>
      </w:r>
      <w:r>
        <w:rPr>
          <w:spacing w:val="-22"/>
        </w:rPr>
        <w:t> </w:t>
      </w:r>
      <w:r>
        <w:rPr>
          <w:spacing w:val="-3"/>
        </w:rPr>
        <w:t>para</w:t>
      </w:r>
      <w:r>
        <w:rPr>
          <w:spacing w:val="-22"/>
        </w:rPr>
        <w:t> </w:t>
      </w:r>
      <w:r>
        <w:rPr>
          <w:spacing w:val="-3"/>
        </w:rPr>
        <w:t>laboratório,</w:t>
      </w:r>
      <w:r>
        <w:rPr>
          <w:spacing w:val="-22"/>
        </w:rPr>
        <w:t> </w:t>
      </w:r>
      <w:r>
        <w:rPr/>
        <w:t>máquinas e</w:t>
      </w:r>
      <w:r>
        <w:rPr>
          <w:spacing w:val="-25"/>
        </w:rPr>
        <w:t> </w:t>
      </w:r>
      <w:r>
        <w:rPr>
          <w:spacing w:val="-3"/>
        </w:rPr>
        <w:t>equipamentos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>
          <w:spacing w:val="-3"/>
        </w:rPr>
        <w:t>poder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terceiros</w:t>
      </w:r>
      <w:r>
        <w:rPr>
          <w:spacing w:val="-25"/>
        </w:rPr>
        <w:t> </w:t>
      </w:r>
      <w:r>
        <w:rPr/>
        <w:t>e</w:t>
      </w:r>
      <w:r>
        <w:rPr>
          <w:spacing w:val="-24"/>
        </w:rPr>
        <w:t> </w:t>
      </w:r>
      <w:r>
        <w:rPr>
          <w:spacing w:val="-3"/>
        </w:rPr>
        <w:t>edifício.</w:t>
      </w:r>
      <w:r>
        <w:rPr>
          <w:spacing w:val="-25"/>
        </w:rPr>
        <w:t> </w:t>
      </w:r>
      <w:r>
        <w:rPr>
          <w:spacing w:val="-4"/>
        </w:rPr>
        <w:t>Para</w:t>
      </w:r>
      <w:r>
        <w:rPr>
          <w:spacing w:val="-25"/>
        </w:rPr>
        <w:t> </w:t>
      </w:r>
      <w:r>
        <w:rPr/>
        <w:t>os</w:t>
      </w:r>
      <w:r>
        <w:rPr>
          <w:spacing w:val="-24"/>
        </w:rPr>
        <w:t> </w:t>
      </w:r>
      <w:r>
        <w:rPr>
          <w:spacing w:val="-3"/>
        </w:rPr>
        <w:t>periféricos,</w:t>
      </w:r>
      <w:r>
        <w:rPr>
          <w:spacing w:val="-25"/>
        </w:rPr>
        <w:t> </w:t>
      </w:r>
      <w:r>
        <w:rPr>
          <w:spacing w:val="-3"/>
        </w:rPr>
        <w:t>equipamentos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processamento </w:t>
      </w:r>
      <w:r>
        <w:rPr/>
        <w:t>de</w:t>
      </w:r>
      <w:r>
        <w:rPr>
          <w:spacing w:val="-4"/>
        </w:rPr>
        <w:t> </w:t>
      </w:r>
      <w:r>
        <w:rPr/>
        <w:t>eletrônicos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softwares</w:t>
      </w:r>
      <w:r>
        <w:rPr>
          <w:spacing w:val="-4"/>
        </w:rPr>
        <w:t> </w:t>
      </w:r>
      <w:r>
        <w:rPr/>
        <w:t>foi</w:t>
      </w:r>
      <w:r>
        <w:rPr>
          <w:spacing w:val="-4"/>
        </w:rPr>
        <w:t> </w:t>
      </w:r>
      <w:r>
        <w:rPr/>
        <w:t>aplicada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(12,50%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14,29%</w:t>
      </w:r>
      <w:r>
        <w:rPr>
          <w:spacing w:val="-5"/>
        </w:rPr>
        <w:t> </w:t>
      </w:r>
      <w:r>
        <w:rPr/>
        <w:t>ao</w:t>
      </w:r>
      <w:r>
        <w:rPr>
          <w:spacing w:val="-3"/>
        </w:rPr>
        <w:t> </w:t>
      </w:r>
      <w:r>
        <w:rPr/>
        <w:t>ano).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os</w:t>
      </w:r>
      <w:r>
        <w:rPr>
          <w:spacing w:val="-4"/>
        </w:rPr>
        <w:t> </w:t>
      </w:r>
      <w:r>
        <w:rPr/>
        <w:t>demais</w:t>
      </w:r>
      <w:r>
        <w:rPr>
          <w:spacing w:val="-5"/>
        </w:rPr>
        <w:t> </w:t>
      </w:r>
      <w:r>
        <w:rPr/>
        <w:t>ativos adotamos a taxa de (16,67% a 20% ao ano).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899998</wp:posOffset>
            </wp:positionH>
            <wp:positionV relativeFrom="paragraph">
              <wp:posOffset>171882</wp:posOffset>
            </wp:positionV>
            <wp:extent cx="5786315" cy="2554224"/>
            <wp:effectExtent l="0" t="0" r="0" b="0"/>
            <wp:wrapTopAndBottom/>
            <wp:docPr id="2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315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6"/>
        </w:numPr>
        <w:tabs>
          <w:tab w:pos="685" w:val="left" w:leader="none"/>
        </w:tabs>
        <w:spacing w:line="240" w:lineRule="auto" w:before="220" w:after="0"/>
        <w:ind w:left="684" w:right="0" w:hanging="548"/>
        <w:jc w:val="left"/>
        <w:rPr>
          <w:b w:val="0"/>
        </w:rPr>
      </w:pPr>
      <w:r>
        <w:rPr>
          <w:b w:val="0"/>
        </w:rPr>
        <w:t>Imobilizado em</w:t>
      </w:r>
      <w:r>
        <w:rPr>
          <w:b w:val="0"/>
          <w:spacing w:val="-1"/>
        </w:rPr>
        <w:t> </w:t>
      </w:r>
      <w:r>
        <w:rPr>
          <w:b w:val="0"/>
        </w:rPr>
        <w:t>Andamento</w:t>
      </w:r>
    </w:p>
    <w:p>
      <w:pPr>
        <w:pStyle w:val="BodyText"/>
        <w:spacing w:line="252" w:lineRule="auto" w:before="176"/>
        <w:ind w:left="137" w:right="114" w:firstLine="226"/>
        <w:jc w:val="both"/>
      </w:pPr>
      <w:r>
        <w:rPr/>
        <w:t>A conta de Imobilizado em Andamento é composta por edificações, máquinas e equipamentos que ainda não entraram em operação por não estarem concluídos ou instalados. O saldo dessa conta contempla todos os gastos com mão de obra, materiais, peças etc., e em 31 de dezembro de 201, representava o montante de R$ 750.232.741.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6"/>
        </w:numPr>
        <w:tabs>
          <w:tab w:pos="690" w:val="left" w:leader="none"/>
        </w:tabs>
        <w:spacing w:line="240" w:lineRule="auto" w:before="0" w:after="0"/>
        <w:ind w:left="689" w:right="0" w:hanging="553"/>
        <w:jc w:val="left"/>
        <w:rPr>
          <w:b/>
          <w:i/>
          <w:sz w:val="22"/>
        </w:rPr>
      </w:pPr>
      <w:r>
        <w:rPr>
          <w:b/>
          <w:i/>
          <w:sz w:val="22"/>
        </w:rPr>
        <w:t>Impairment </w:t>
      </w:r>
      <w:r>
        <w:rPr>
          <w:b/>
          <w:i/>
          <w:spacing w:val="-3"/>
          <w:sz w:val="22"/>
        </w:rPr>
        <w:t>Test</w:t>
      </w:r>
    </w:p>
    <w:p>
      <w:pPr>
        <w:pStyle w:val="BodyText"/>
        <w:spacing w:line="252" w:lineRule="auto" w:before="176"/>
        <w:ind w:left="137" w:right="111" w:firstLine="226"/>
        <w:jc w:val="both"/>
      </w:pPr>
      <w:r>
        <w:rPr/>
        <w:t>Em</w:t>
      </w:r>
      <w:r>
        <w:rPr>
          <w:spacing w:val="-9"/>
        </w:rPr>
        <w:t> </w:t>
      </w:r>
      <w:r>
        <w:rPr/>
        <w:t>2019</w:t>
      </w:r>
      <w:r>
        <w:rPr>
          <w:spacing w:val="-8"/>
        </w:rPr>
        <w:t> </w:t>
      </w:r>
      <w:r>
        <w:rPr/>
        <w:t>foi</w:t>
      </w:r>
      <w:r>
        <w:rPr>
          <w:spacing w:val="-8"/>
        </w:rPr>
        <w:t> </w:t>
      </w:r>
      <w:r>
        <w:rPr/>
        <w:t>realizado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teste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redução</w:t>
      </w:r>
      <w:r>
        <w:rPr>
          <w:spacing w:val="-8"/>
        </w:rPr>
        <w:t> </w:t>
      </w:r>
      <w:r>
        <w:rPr/>
        <w:t>ao</w:t>
      </w:r>
      <w:r>
        <w:rPr>
          <w:spacing w:val="-8"/>
        </w:rPr>
        <w:t> </w:t>
      </w:r>
      <w:r>
        <w:rPr/>
        <w:t>valor</w:t>
      </w:r>
      <w:r>
        <w:rPr>
          <w:spacing w:val="-9"/>
        </w:rPr>
        <w:t> </w:t>
      </w:r>
      <w:r>
        <w:rPr/>
        <w:t>recuperável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ativos</w:t>
      </w:r>
      <w:r>
        <w:rPr>
          <w:spacing w:val="-9"/>
        </w:rPr>
        <w:t> </w:t>
      </w:r>
      <w:r>
        <w:rPr/>
        <w:t>imobilizado</w:t>
      </w:r>
      <w:r>
        <w:rPr>
          <w:spacing w:val="-8"/>
        </w:rPr>
        <w:t> </w:t>
      </w:r>
      <w:r>
        <w:rPr/>
        <w:t>CPC</w:t>
      </w:r>
      <w:r>
        <w:rPr>
          <w:spacing w:val="-8"/>
        </w:rPr>
        <w:t> </w:t>
      </w:r>
      <w:r>
        <w:rPr/>
        <w:t>01R1</w:t>
      </w:r>
      <w:r>
        <w:rPr>
          <w:spacing w:val="-9"/>
        </w:rPr>
        <w:t> </w:t>
      </w:r>
      <w:r>
        <w:rPr/>
        <w:t>– Redução ao Valor Recuperável de Ativos, avaliação da vida útil do imobilizado e do intangível.     A empresa contratada para a realização dos testes foi a Convergy Serviços e Contabilidade </w:t>
      </w:r>
      <w:r>
        <w:rPr>
          <w:spacing w:val="-7"/>
        </w:rPr>
        <w:t>LTDA, </w:t>
      </w:r>
      <w:r>
        <w:rPr/>
        <w:t>que concluiu que não houve perda por desvalorização no exercício. O montante avaliado foi de R$ 855.004.029.</w:t>
      </w:r>
    </w:p>
    <w:p>
      <w:pPr>
        <w:pStyle w:val="BodyText"/>
        <w:spacing w:line="252" w:lineRule="auto" w:before="145"/>
        <w:ind w:left="137" w:right="113" w:firstLine="226"/>
        <w:jc w:val="both"/>
      </w:pPr>
      <w:r>
        <w:rPr/>
        <w:t>A Convergy apontou a necessidade de ajustes e alterações na conta de edifícios. Durante os trabalhos foi verificado que os edifícios da fábrica foram concebidos e realizados da forma mais conservadora e qualitativa em termos de construção, com expectativa de durabilidade e vida útil superior a 50 anos. Desta forma, houve a recomendação de que a Administração considerasse a</w:t>
      </w:r>
    </w:p>
    <w:p>
      <w:pPr>
        <w:spacing w:after="0" w:line="252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BodyText"/>
        <w:spacing w:line="247" w:lineRule="auto" w:before="87"/>
        <w:ind w:left="137" w:right="113"/>
        <w:jc w:val="both"/>
      </w:pPr>
      <w:r>
        <w:rPr/>
        <w:t>adoção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vida</w:t>
      </w:r>
      <w:r>
        <w:rPr>
          <w:spacing w:val="-7"/>
        </w:rPr>
        <w:t> </w:t>
      </w:r>
      <w:r>
        <w:rPr/>
        <w:t>útil</w:t>
      </w:r>
      <w:r>
        <w:rPr>
          <w:spacing w:val="-6"/>
        </w:rPr>
        <w:t> </w:t>
      </w:r>
      <w:r>
        <w:rPr/>
        <w:t>mínima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50</w:t>
      </w:r>
      <w:r>
        <w:rPr>
          <w:spacing w:val="-6"/>
        </w:rPr>
        <w:t> </w:t>
      </w:r>
      <w:r>
        <w:rPr/>
        <w:t>anos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valor</w:t>
      </w:r>
      <w:r>
        <w:rPr>
          <w:spacing w:val="-7"/>
        </w:rPr>
        <w:t> </w:t>
      </w:r>
      <w:r>
        <w:rPr/>
        <w:t>residual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20%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novas</w:t>
      </w:r>
      <w:r>
        <w:rPr>
          <w:spacing w:val="-6"/>
        </w:rPr>
        <w:t> </w:t>
      </w:r>
      <w:r>
        <w:rPr/>
        <w:t>aquisições</w:t>
      </w:r>
      <w:r>
        <w:rPr>
          <w:spacing w:val="-7"/>
        </w:rPr>
        <w:t> </w:t>
      </w:r>
      <w:r>
        <w:rPr/>
        <w:t>ou</w:t>
      </w:r>
      <w:r>
        <w:rPr>
          <w:spacing w:val="-6"/>
        </w:rPr>
        <w:t> </w:t>
      </w:r>
      <w:r>
        <w:rPr/>
        <w:t>ativos</w:t>
      </w:r>
      <w:r>
        <w:rPr>
          <w:spacing w:val="-7"/>
        </w:rPr>
        <w:t> </w:t>
      </w:r>
      <w:r>
        <w:rPr/>
        <w:t>em colocação a serviço ou funcionamento, classificados como edifícios, o que seria apropriado em resultado a partir de 1º de janeiro de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6"/>
        </w:numPr>
        <w:tabs>
          <w:tab w:pos="682" w:val="left" w:leader="none"/>
        </w:tabs>
        <w:spacing w:line="240" w:lineRule="auto" w:before="0" w:after="0"/>
        <w:ind w:left="681" w:right="0" w:hanging="545"/>
        <w:jc w:val="left"/>
        <w:rPr>
          <w:b w:val="0"/>
        </w:rPr>
      </w:pPr>
      <w:r>
        <w:rPr>
          <w:b w:val="0"/>
        </w:rPr>
        <w:t>Obras</w:t>
      </w:r>
    </w:p>
    <w:p>
      <w:pPr>
        <w:pStyle w:val="BodyText"/>
        <w:spacing w:line="247" w:lineRule="auto" w:before="171"/>
        <w:ind w:left="137" w:right="112" w:firstLine="226"/>
        <w:jc w:val="both"/>
      </w:pPr>
      <w:r>
        <w:rPr/>
        <w:t>No decurso de 2019, houve a continuidade das obras de conclusão do bloco de embalagem  de medicamentos (B04), que tem a previsão de entrar em operação no exercício de 2021. Foram iniciadas</w:t>
      </w:r>
      <w:r>
        <w:rPr>
          <w:spacing w:val="-12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obras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engenharia</w:t>
      </w:r>
      <w:r>
        <w:rPr>
          <w:spacing w:val="-11"/>
        </w:rPr>
        <w:t> </w:t>
      </w:r>
      <w:r>
        <w:rPr/>
        <w:t>referentes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execução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obras</w:t>
      </w:r>
      <w:r>
        <w:rPr>
          <w:spacing w:val="-12"/>
        </w:rPr>
        <w:t> </w:t>
      </w:r>
      <w:r>
        <w:rPr/>
        <w:t>civis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outras</w:t>
      </w:r>
      <w:r>
        <w:rPr>
          <w:spacing w:val="-12"/>
        </w:rPr>
        <w:t> </w:t>
      </w:r>
      <w:r>
        <w:rPr/>
        <w:t>disciplinas complementares infraestruturais, com previsão de conclusão no segundo semestre de</w:t>
      </w:r>
      <w:r>
        <w:rPr>
          <w:spacing w:val="-26"/>
        </w:rPr>
        <w:t> </w:t>
      </w:r>
      <w:r>
        <w:rPr/>
        <w:t>2020.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0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Movimentação do</w:t>
      </w:r>
      <w:r>
        <w:rPr>
          <w:b w:val="0"/>
          <w:color w:val="7C7B7B"/>
          <w:spacing w:val="-3"/>
        </w:rPr>
        <w:t> </w:t>
      </w:r>
      <w:r>
        <w:rPr>
          <w:b w:val="0"/>
          <w:color w:val="7C7B7B"/>
        </w:rPr>
        <w:t>Imobilizado</w:t>
      </w:r>
    </w:p>
    <w:p>
      <w:pPr>
        <w:pStyle w:val="BodyText"/>
        <w:spacing w:before="1"/>
        <w:rPr>
          <w:rFonts w:ascii="Roboto"/>
          <w:b w:val="0"/>
          <w:sz w:val="9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899998</wp:posOffset>
            </wp:positionH>
            <wp:positionV relativeFrom="paragraph">
              <wp:posOffset>100839</wp:posOffset>
            </wp:positionV>
            <wp:extent cx="5767527" cy="2883407"/>
            <wp:effectExtent l="0" t="0" r="0" b="0"/>
            <wp:wrapTopAndBottom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527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Roboto"/>
          <w:b w:val="0"/>
          <w:sz w:val="26"/>
        </w:rPr>
      </w:pPr>
    </w:p>
    <w:p>
      <w:pPr>
        <w:pStyle w:val="BodyText"/>
        <w:spacing w:before="1"/>
        <w:rPr>
          <w:rFonts w:ascii="Roboto"/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0" w:after="0"/>
        <w:ind w:left="616" w:right="0" w:hanging="480"/>
        <w:jc w:val="left"/>
        <w:rPr>
          <w:b w:val="0"/>
          <w:sz w:val="22"/>
        </w:rPr>
      </w:pPr>
      <w:r>
        <w:rPr>
          <w:b w:val="0"/>
          <w:color w:val="9D534E"/>
          <w:spacing w:val="-3"/>
          <w:sz w:val="22"/>
        </w:rPr>
        <w:t>INTANGÍVEL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/>
        <w:ind w:left="137" w:right="113" w:firstLine="226"/>
        <w:jc w:val="both"/>
      </w:pPr>
      <w:r>
        <w:rPr/>
        <w:t>No intangível são registrados os direitos que tenham por objeto bens incorpóreos destinados à </w:t>
      </w:r>
      <w:r>
        <w:rPr>
          <w:spacing w:val="-3"/>
        </w:rPr>
        <w:t>manutenção</w:t>
      </w:r>
      <w:r>
        <w:rPr>
          <w:spacing w:val="-32"/>
        </w:rPr>
        <w:t> </w:t>
      </w:r>
      <w:r>
        <w:rPr/>
        <w:t>da</w:t>
      </w:r>
      <w:r>
        <w:rPr>
          <w:spacing w:val="-32"/>
        </w:rPr>
        <w:t> </w:t>
      </w:r>
      <w:r>
        <w:rPr>
          <w:spacing w:val="-3"/>
        </w:rPr>
        <w:t>Companhia</w:t>
      </w:r>
      <w:r>
        <w:rPr>
          <w:spacing w:val="-32"/>
        </w:rPr>
        <w:t> </w:t>
      </w:r>
      <w:r>
        <w:rPr/>
        <w:t>ou</w:t>
      </w:r>
      <w:r>
        <w:rPr>
          <w:spacing w:val="-31"/>
        </w:rPr>
        <w:t> </w:t>
      </w:r>
      <w:r>
        <w:rPr>
          <w:spacing w:val="-4"/>
        </w:rPr>
        <w:t>exercidos</w:t>
      </w:r>
      <w:r>
        <w:rPr>
          <w:spacing w:val="-32"/>
        </w:rPr>
        <w:t> </w:t>
      </w:r>
      <w:r>
        <w:rPr/>
        <w:t>com</w:t>
      </w:r>
      <w:r>
        <w:rPr>
          <w:spacing w:val="-32"/>
        </w:rPr>
        <w:t> </w:t>
      </w:r>
      <w:r>
        <w:rPr>
          <w:spacing w:val="-3"/>
        </w:rPr>
        <w:t>essa</w:t>
      </w:r>
      <w:r>
        <w:rPr>
          <w:spacing w:val="-31"/>
        </w:rPr>
        <w:t> </w:t>
      </w:r>
      <w:r>
        <w:rPr>
          <w:spacing w:val="-3"/>
        </w:rPr>
        <w:t>finalidade,</w:t>
      </w:r>
      <w:r>
        <w:rPr>
          <w:spacing w:val="-32"/>
        </w:rPr>
        <w:t> </w:t>
      </w:r>
      <w:r>
        <w:rPr>
          <w:spacing w:val="-3"/>
        </w:rPr>
        <w:t>deduzidos</w:t>
      </w:r>
      <w:r>
        <w:rPr>
          <w:spacing w:val="-32"/>
        </w:rPr>
        <w:t> </w:t>
      </w:r>
      <w:r>
        <w:rPr/>
        <w:t>das</w:t>
      </w:r>
      <w:r>
        <w:rPr>
          <w:spacing w:val="-31"/>
        </w:rPr>
        <w:t> </w:t>
      </w:r>
      <w:r>
        <w:rPr>
          <w:spacing w:val="-4"/>
        </w:rPr>
        <w:t>respectivas</w:t>
      </w:r>
      <w:r>
        <w:rPr>
          <w:spacing w:val="-32"/>
        </w:rPr>
        <w:t> </w:t>
      </w:r>
      <w:r>
        <w:rPr>
          <w:spacing w:val="-3"/>
        </w:rPr>
        <w:t>amortizações </w:t>
      </w:r>
      <w:r>
        <w:rPr/>
        <w:t>e</w:t>
      </w:r>
      <w:r>
        <w:rPr>
          <w:spacing w:val="-27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provisão</w:t>
      </w:r>
      <w:r>
        <w:rPr>
          <w:spacing w:val="-26"/>
        </w:rPr>
        <w:t> </w:t>
      </w:r>
      <w:r>
        <w:rPr>
          <w:spacing w:val="-3"/>
        </w:rPr>
        <w:t>para</w:t>
      </w:r>
      <w:r>
        <w:rPr>
          <w:spacing w:val="-26"/>
        </w:rPr>
        <w:t> </w:t>
      </w:r>
      <w:r>
        <w:rPr/>
        <w:t>redução</w:t>
      </w:r>
      <w:r>
        <w:rPr>
          <w:spacing w:val="-26"/>
        </w:rPr>
        <w:t> </w:t>
      </w:r>
      <w:r>
        <w:rPr/>
        <w:t>ao</w:t>
      </w:r>
      <w:r>
        <w:rPr>
          <w:spacing w:val="-26"/>
        </w:rPr>
        <w:t> </w:t>
      </w:r>
      <w:r>
        <w:rPr/>
        <w:t>valor</w:t>
      </w:r>
      <w:r>
        <w:rPr>
          <w:spacing w:val="-26"/>
        </w:rPr>
        <w:t> </w:t>
      </w:r>
      <w:r>
        <w:rPr>
          <w:spacing w:val="-3"/>
        </w:rPr>
        <w:t>recuperável</w:t>
      </w:r>
      <w:r>
        <w:rPr>
          <w:spacing w:val="-26"/>
        </w:rPr>
        <w:t> </w:t>
      </w:r>
      <w:r>
        <w:rPr/>
        <w:t>quando</w:t>
      </w:r>
      <w:r>
        <w:rPr>
          <w:spacing w:val="-26"/>
        </w:rPr>
        <w:t> </w:t>
      </w:r>
      <w:r>
        <w:rPr/>
        <w:t>houver</w:t>
      </w:r>
      <w:r>
        <w:rPr>
          <w:spacing w:val="-26"/>
        </w:rPr>
        <w:t> </w:t>
      </w:r>
      <w:r>
        <w:rPr/>
        <w:t>indicação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os</w:t>
      </w:r>
      <w:r>
        <w:rPr>
          <w:spacing w:val="-26"/>
        </w:rPr>
        <w:t> </w:t>
      </w:r>
      <w:r>
        <w:rPr>
          <w:spacing w:val="-3"/>
        </w:rPr>
        <w:t>valores</w:t>
      </w:r>
      <w:r>
        <w:rPr>
          <w:spacing w:val="-26"/>
        </w:rPr>
        <w:t> </w:t>
      </w:r>
      <w:r>
        <w:rPr/>
        <w:t>contábeis dos bens intangíveis estão superiores ao valor de recuperação. O valor contábil do intangível em 31 de dezembro de 2019 correspondia ao montante de R$ 18.912.339, conforme quadro</w:t>
      </w:r>
      <w:r>
        <w:rPr>
          <w:spacing w:val="-35"/>
        </w:rPr>
        <w:t> </w:t>
      </w:r>
      <w:r>
        <w:rPr/>
        <w:t>abaixo.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899998</wp:posOffset>
            </wp:positionH>
            <wp:positionV relativeFrom="paragraph">
              <wp:posOffset>101042</wp:posOffset>
            </wp:positionV>
            <wp:extent cx="5669868" cy="1494186"/>
            <wp:effectExtent l="0" t="0" r="0" b="0"/>
            <wp:wrapTopAndBottom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868" cy="1494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63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Movimentação do</w:t>
      </w:r>
      <w:r>
        <w:rPr>
          <w:b w:val="0"/>
          <w:color w:val="7C7B7B"/>
          <w:spacing w:val="-3"/>
        </w:rPr>
        <w:t> </w:t>
      </w:r>
      <w:r>
        <w:rPr>
          <w:b w:val="0"/>
          <w:color w:val="7C7B7B"/>
        </w:rPr>
        <w:t>Intangível</w:t>
      </w:r>
    </w:p>
    <w:p>
      <w:pPr>
        <w:pStyle w:val="BodyText"/>
        <w:spacing w:before="6"/>
        <w:rPr>
          <w:rFonts w:ascii="Roboto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899998</wp:posOffset>
            </wp:positionH>
            <wp:positionV relativeFrom="paragraph">
              <wp:posOffset>95907</wp:posOffset>
            </wp:positionV>
            <wp:extent cx="5778817" cy="1731263"/>
            <wp:effectExtent l="0" t="0" r="0" b="0"/>
            <wp:wrapTopAndBottom/>
            <wp:docPr id="2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817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Roboto"/>
          <w:b w:val="0"/>
          <w:sz w:val="37"/>
        </w:rPr>
      </w:pPr>
    </w:p>
    <w:p>
      <w:pPr>
        <w:pStyle w:val="ListParagraph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0" w:after="0"/>
        <w:ind w:left="616" w:right="0" w:hanging="480"/>
        <w:jc w:val="left"/>
        <w:rPr>
          <w:b w:val="0"/>
          <w:sz w:val="22"/>
        </w:rPr>
      </w:pPr>
      <w:r>
        <w:rPr>
          <w:b w:val="0"/>
          <w:color w:val="9D534E"/>
          <w:sz w:val="22"/>
        </w:rPr>
        <w:t>FORNECEDORES</w:t>
      </w:r>
    </w:p>
    <w:p>
      <w:pPr>
        <w:pStyle w:val="BodyText"/>
        <w:spacing w:before="1"/>
        <w:rPr>
          <w:rFonts w:ascii="Roboto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899999</wp:posOffset>
            </wp:positionH>
            <wp:positionV relativeFrom="paragraph">
              <wp:posOffset>168046</wp:posOffset>
            </wp:positionV>
            <wp:extent cx="5783521" cy="1798320"/>
            <wp:effectExtent l="0" t="0" r="0" b="0"/>
            <wp:wrapTopAndBottom/>
            <wp:docPr id="3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21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Roboto"/>
          <w:b w:val="0"/>
          <w:sz w:val="23"/>
        </w:rPr>
      </w:pPr>
    </w:p>
    <w:p>
      <w:pPr>
        <w:pStyle w:val="BodyText"/>
        <w:spacing w:line="247" w:lineRule="auto"/>
        <w:ind w:left="137" w:right="112" w:firstLine="226"/>
        <w:jc w:val="both"/>
      </w:pPr>
      <w:r>
        <w:rPr/>
        <w:t>Em 2018, foi assinado o segundo aditivo ao contrato de licença e transferência de tecnologia. Esse aditivo prevê investimento pela Takeda de até US$ 250 milhões na fábrica do medicamento fator VIII recombinante e, como contrapartida, a Hemobrás oferece exclusividade na compra dos seus produtos. O pagamento a esse fornecedor foi acordado em sete parcelas anuais, sendo a primeira paga em dezembro de 2018.</w:t>
      </w:r>
    </w:p>
    <w:p>
      <w:pPr>
        <w:pStyle w:val="BodyText"/>
        <w:spacing w:line="247" w:lineRule="auto" w:before="143"/>
        <w:ind w:left="137" w:right="114" w:firstLine="226"/>
        <w:jc w:val="both"/>
      </w:pPr>
      <w:r>
        <w:rPr/>
        <w:t>Em</w:t>
      </w:r>
      <w:r>
        <w:rPr>
          <w:spacing w:val="-19"/>
        </w:rPr>
        <w:t> </w:t>
      </w:r>
      <w:r>
        <w:rPr/>
        <w:t>31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dezembro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2019,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Hemobrás</w:t>
      </w:r>
      <w:r>
        <w:rPr>
          <w:spacing w:val="-18"/>
        </w:rPr>
        <w:t> </w:t>
      </w:r>
      <w:r>
        <w:rPr/>
        <w:t>possuía</w:t>
      </w:r>
      <w:r>
        <w:rPr>
          <w:spacing w:val="-19"/>
        </w:rPr>
        <w:t> </w:t>
      </w:r>
      <w:r>
        <w:rPr/>
        <w:t>obrigações</w:t>
      </w:r>
      <w:r>
        <w:rPr>
          <w:spacing w:val="-18"/>
        </w:rPr>
        <w:t> </w:t>
      </w:r>
      <w:r>
        <w:rPr/>
        <w:t>com</w:t>
      </w:r>
      <w:r>
        <w:rPr>
          <w:spacing w:val="-18"/>
        </w:rPr>
        <w:t> </w:t>
      </w:r>
      <w:r>
        <w:rPr/>
        <w:t>fornecedores</w:t>
      </w:r>
      <w:r>
        <w:rPr>
          <w:spacing w:val="-18"/>
        </w:rPr>
        <w:t> </w:t>
      </w:r>
      <w:r>
        <w:rPr/>
        <w:t>no</w:t>
      </w:r>
      <w:r>
        <w:rPr>
          <w:spacing w:val="-19"/>
        </w:rPr>
        <w:t> </w:t>
      </w:r>
      <w:r>
        <w:rPr/>
        <w:t>montante</w:t>
      </w:r>
      <w:r>
        <w:rPr>
          <w:spacing w:val="-18"/>
        </w:rPr>
        <w:t> </w:t>
      </w:r>
      <w:r>
        <w:rPr/>
        <w:t>de R$</w:t>
      </w:r>
      <w:r>
        <w:rPr>
          <w:spacing w:val="-18"/>
        </w:rPr>
        <w:t> </w:t>
      </w:r>
      <w:r>
        <w:rPr/>
        <w:t>636,4</w:t>
      </w:r>
      <w:r>
        <w:rPr>
          <w:spacing w:val="-18"/>
        </w:rPr>
        <w:t> </w:t>
      </w:r>
      <w:r>
        <w:rPr/>
        <w:t>milhões,</w:t>
      </w:r>
      <w:r>
        <w:rPr>
          <w:spacing w:val="-17"/>
        </w:rPr>
        <w:t> </w:t>
      </w:r>
      <w:r>
        <w:rPr/>
        <w:t>sendo</w:t>
      </w:r>
      <w:r>
        <w:rPr>
          <w:spacing w:val="-18"/>
        </w:rPr>
        <w:t> </w:t>
      </w:r>
      <w:r>
        <w:rPr/>
        <w:t>R$</w:t>
      </w:r>
      <w:r>
        <w:rPr>
          <w:spacing w:val="-17"/>
        </w:rPr>
        <w:t> </w:t>
      </w:r>
      <w:r>
        <w:rPr/>
        <w:t>629,6</w:t>
      </w:r>
      <w:r>
        <w:rPr>
          <w:spacing w:val="-18"/>
        </w:rPr>
        <w:t> </w:t>
      </w:r>
      <w:r>
        <w:rPr/>
        <w:t>milhões</w:t>
      </w:r>
      <w:r>
        <w:rPr>
          <w:spacing w:val="-17"/>
        </w:rPr>
        <w:t> </w:t>
      </w:r>
      <w:r>
        <w:rPr/>
        <w:t>com</w:t>
      </w:r>
      <w:r>
        <w:rPr>
          <w:spacing w:val="-18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Takeda</w:t>
      </w:r>
      <w:r>
        <w:rPr>
          <w:spacing w:val="-17"/>
        </w:rPr>
        <w:t> </w:t>
      </w:r>
      <w:r>
        <w:rPr/>
        <w:t>devido</w:t>
      </w:r>
      <w:r>
        <w:rPr>
          <w:spacing w:val="-18"/>
        </w:rPr>
        <w:t> </w:t>
      </w:r>
      <w:r>
        <w:rPr/>
        <w:t>ao</w:t>
      </w:r>
      <w:r>
        <w:rPr>
          <w:spacing w:val="-18"/>
        </w:rPr>
        <w:t> </w:t>
      </w:r>
      <w:r>
        <w:rPr/>
        <w:t>fornecimento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medicamentos em períodos</w:t>
      </w:r>
      <w:r>
        <w:rPr>
          <w:spacing w:val="-1"/>
        </w:rPr>
        <w:t> </w:t>
      </w:r>
      <w:r>
        <w:rPr/>
        <w:t>anteriores.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169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CONVÊNIOS –</w:t>
      </w:r>
      <w:r>
        <w:rPr>
          <w:b w:val="0"/>
          <w:color w:val="9D534E"/>
          <w:spacing w:val="-3"/>
        </w:rPr>
        <w:t> </w:t>
      </w:r>
      <w:r>
        <w:rPr>
          <w:b w:val="0"/>
          <w:color w:val="9D534E"/>
        </w:rPr>
        <w:t>CONVENENTE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/>
        <w:ind w:left="137" w:right="112" w:firstLine="226"/>
        <w:jc w:val="both"/>
      </w:pPr>
      <w:r>
        <w:rPr/>
        <w:t>No decurso do exercício de 2019, a Hemobrás encerrou a prestação de contas referente ao Convênio</w:t>
      </w:r>
      <w:r>
        <w:rPr>
          <w:spacing w:val="-9"/>
        </w:rPr>
        <w:t> </w:t>
      </w:r>
      <w:r>
        <w:rPr/>
        <w:t>nº</w:t>
      </w:r>
      <w:r>
        <w:rPr>
          <w:spacing w:val="-9"/>
        </w:rPr>
        <w:t> </w:t>
      </w:r>
      <w:r>
        <w:rPr/>
        <w:t>4.502/2007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foi</w:t>
      </w:r>
      <w:r>
        <w:rPr>
          <w:spacing w:val="-9"/>
        </w:rPr>
        <w:t> </w:t>
      </w:r>
      <w:r>
        <w:rPr/>
        <w:t>firmado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Hemobrás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Ministério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Saúde,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aquisição de equipamento e material permanente para atender a melhoria da rede de frio dos serviços de hemoterapia.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899998</wp:posOffset>
            </wp:positionH>
            <wp:positionV relativeFrom="paragraph">
              <wp:posOffset>110786</wp:posOffset>
            </wp:positionV>
            <wp:extent cx="5705886" cy="1248156"/>
            <wp:effectExtent l="0" t="0" r="0" b="0"/>
            <wp:wrapTopAndBottom/>
            <wp:docPr id="3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86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63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OBRIGAÇÕES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TRIBUTÁRIAS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 w:before="1"/>
        <w:ind w:left="137" w:right="115" w:firstLine="226"/>
        <w:jc w:val="both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899998</wp:posOffset>
            </wp:positionH>
            <wp:positionV relativeFrom="paragraph">
              <wp:posOffset>412915</wp:posOffset>
            </wp:positionV>
            <wp:extent cx="5769726" cy="2560320"/>
            <wp:effectExtent l="0" t="0" r="0" b="0"/>
            <wp:wrapTopAndBottom/>
            <wp:docPr id="3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72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 saldo da conta de obrigações tributárias no montante de R$ 1.931.989 é composto pelos seguintes tributos a recolher: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0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OBRIGAÇÕES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SOCIAIS</w:t>
      </w:r>
    </w:p>
    <w:p>
      <w:pPr>
        <w:pStyle w:val="BodyText"/>
        <w:spacing w:before="8"/>
        <w:rPr>
          <w:rFonts w:ascii="Roboto"/>
          <w:b w:val="0"/>
        </w:rPr>
      </w:pPr>
    </w:p>
    <w:p>
      <w:pPr>
        <w:pStyle w:val="BodyText"/>
        <w:ind w:left="364"/>
      </w:pPr>
      <w:r>
        <w:rPr/>
        <w:t>As obrigações sociais se referem às provisões de férias e aos encargos sociais vinculados às</w:t>
      </w:r>
    </w:p>
    <w:p>
      <w:pPr>
        <w:pStyle w:val="BodyText"/>
        <w:spacing w:before="8"/>
        <w:ind w:left="137"/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899998</wp:posOffset>
            </wp:positionH>
            <wp:positionV relativeFrom="paragraph">
              <wp:posOffset>247193</wp:posOffset>
            </wp:positionV>
            <wp:extent cx="5766052" cy="1463039"/>
            <wp:effectExtent l="0" t="0" r="0" b="0"/>
            <wp:wrapTopAndBottom/>
            <wp:docPr id="3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052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provisões trabalhistas, que totalizam R$ 4.643.909.</w:t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0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PROVISÃO </w:t>
      </w:r>
      <w:r>
        <w:rPr>
          <w:b w:val="0"/>
          <w:color w:val="9D534E"/>
          <w:spacing w:val="-6"/>
        </w:rPr>
        <w:t>PARA </w:t>
      </w:r>
      <w:r>
        <w:rPr>
          <w:b w:val="0"/>
          <w:color w:val="9D534E"/>
        </w:rPr>
        <w:t>RISCOS CÍVEIS, FISCAIS E</w:t>
      </w:r>
      <w:r>
        <w:rPr>
          <w:b w:val="0"/>
          <w:color w:val="9D534E"/>
          <w:spacing w:val="-17"/>
        </w:rPr>
        <w:t> </w:t>
      </w:r>
      <w:r>
        <w:rPr>
          <w:b w:val="0"/>
          <w:color w:val="9D534E"/>
        </w:rPr>
        <w:t>TRABALHISTAS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/>
        <w:ind w:left="137" w:right="111" w:firstLine="226"/>
        <w:jc w:val="both"/>
      </w:pPr>
      <w:r>
        <w:rPr/>
        <w:t>A Companhia é </w:t>
      </w:r>
      <w:r>
        <w:rPr>
          <w:spacing w:val="2"/>
        </w:rPr>
        <w:t>parte </w:t>
      </w:r>
      <w:r>
        <w:rPr/>
        <w:t>em ações judiciais e administrativas de natureza trabalhista e cível.         A provisão foi constituída considerando a análise da Procuradoria Jurídica para os processos cuja expectativa de perda foi avaliada como provável, sendo suficiente para fazer face às perdas esperadas no montante de R$</w:t>
      </w:r>
      <w:r>
        <w:rPr>
          <w:spacing w:val="-2"/>
        </w:rPr>
        <w:t> </w:t>
      </w:r>
      <w:r>
        <w:rPr/>
        <w:t>694.350.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1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Risco</w:t>
      </w:r>
      <w:r>
        <w:rPr>
          <w:b w:val="0"/>
          <w:color w:val="7C7B7B"/>
          <w:spacing w:val="-15"/>
        </w:rPr>
        <w:t> </w:t>
      </w:r>
      <w:r>
        <w:rPr>
          <w:b w:val="0"/>
          <w:color w:val="7C7B7B"/>
        </w:rPr>
        <w:t>de</w:t>
      </w:r>
      <w:r>
        <w:rPr>
          <w:b w:val="0"/>
          <w:color w:val="7C7B7B"/>
          <w:spacing w:val="-15"/>
        </w:rPr>
        <w:t> </w:t>
      </w:r>
      <w:r>
        <w:rPr>
          <w:b w:val="0"/>
          <w:color w:val="7C7B7B"/>
        </w:rPr>
        <w:t>Perda</w:t>
      </w:r>
      <w:r>
        <w:rPr>
          <w:b w:val="0"/>
          <w:color w:val="7C7B7B"/>
          <w:spacing w:val="-15"/>
        </w:rPr>
        <w:t> </w:t>
      </w:r>
      <w:r>
        <w:rPr>
          <w:b w:val="0"/>
          <w:color w:val="7C7B7B"/>
        </w:rPr>
        <w:t>Provável</w:t>
      </w:r>
    </w:p>
    <w:p>
      <w:pPr>
        <w:pStyle w:val="BodyText"/>
        <w:spacing w:line="247" w:lineRule="auto" w:before="170"/>
        <w:ind w:left="137" w:right="116" w:firstLine="226"/>
        <w:jc w:val="both"/>
      </w:pPr>
      <w:r>
        <w:rPr/>
        <w:t>A</w:t>
      </w:r>
      <w:r>
        <w:rPr>
          <w:spacing w:val="-18"/>
        </w:rPr>
        <w:t> </w:t>
      </w:r>
      <w:r>
        <w:rPr/>
        <w:t>provisão</w:t>
      </w:r>
      <w:r>
        <w:rPr>
          <w:spacing w:val="-18"/>
        </w:rPr>
        <w:t> </w:t>
      </w:r>
      <w:r>
        <w:rPr/>
        <w:t>classificada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perda</w:t>
      </w:r>
      <w:r>
        <w:rPr>
          <w:spacing w:val="-17"/>
        </w:rPr>
        <w:t> </w:t>
      </w:r>
      <w:r>
        <w:rPr/>
        <w:t>provável</w:t>
      </w:r>
      <w:r>
        <w:rPr>
          <w:spacing w:val="-18"/>
        </w:rPr>
        <w:t> </w:t>
      </w:r>
      <w:r>
        <w:rPr/>
        <w:t>é</w:t>
      </w:r>
      <w:r>
        <w:rPr>
          <w:spacing w:val="-18"/>
        </w:rPr>
        <w:t> </w:t>
      </w:r>
      <w:r>
        <w:rPr/>
        <w:t>composta</w:t>
      </w:r>
      <w:r>
        <w:rPr>
          <w:spacing w:val="-18"/>
        </w:rPr>
        <w:t> </w:t>
      </w:r>
      <w:r>
        <w:rPr/>
        <w:t>por</w:t>
      </w:r>
      <w:r>
        <w:rPr>
          <w:spacing w:val="-17"/>
        </w:rPr>
        <w:t> </w:t>
      </w:r>
      <w:r>
        <w:rPr/>
        <w:t>ações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natureza</w:t>
      </w:r>
      <w:r>
        <w:rPr>
          <w:spacing w:val="-18"/>
        </w:rPr>
        <w:t> </w:t>
      </w:r>
      <w:r>
        <w:rPr/>
        <w:t>trabalhista,</w:t>
      </w:r>
      <w:r>
        <w:rPr>
          <w:spacing w:val="-18"/>
        </w:rPr>
        <w:t> </w:t>
      </w:r>
      <w:r>
        <w:rPr/>
        <w:t>cível e tributária, demonstradas a</w:t>
      </w:r>
      <w:r>
        <w:rPr>
          <w:spacing w:val="-1"/>
        </w:rPr>
        <w:t> </w:t>
      </w:r>
      <w:r>
        <w:rPr/>
        <w:t>seguir: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899998</wp:posOffset>
            </wp:positionH>
            <wp:positionV relativeFrom="paragraph">
              <wp:posOffset>101102</wp:posOffset>
            </wp:positionV>
            <wp:extent cx="5695954" cy="1056132"/>
            <wp:effectExtent l="0" t="0" r="0" b="0"/>
            <wp:wrapTopAndBottom/>
            <wp:docPr id="3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4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63" w:after="0"/>
        <w:ind w:left="692" w:right="0" w:hanging="556"/>
        <w:jc w:val="left"/>
        <w:rPr>
          <w:b w:val="0"/>
        </w:rPr>
      </w:pPr>
      <w:r>
        <w:rPr>
          <w:b w:val="0"/>
          <w:color w:val="7C7B7B"/>
        </w:rPr>
        <w:t>Risco de Perda</w:t>
      </w:r>
      <w:r>
        <w:rPr>
          <w:b w:val="0"/>
          <w:color w:val="7C7B7B"/>
          <w:spacing w:val="-4"/>
        </w:rPr>
        <w:t> </w:t>
      </w:r>
      <w:r>
        <w:rPr>
          <w:b w:val="0"/>
          <w:color w:val="7C7B7B"/>
        </w:rPr>
        <w:t>Possível</w:t>
      </w:r>
    </w:p>
    <w:p>
      <w:pPr>
        <w:pStyle w:val="BodyText"/>
        <w:spacing w:line="252" w:lineRule="auto" w:before="177"/>
        <w:ind w:left="137" w:right="118" w:firstLine="226"/>
        <w:jc w:val="both"/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899998</wp:posOffset>
            </wp:positionH>
            <wp:positionV relativeFrom="paragraph">
              <wp:posOffset>531711</wp:posOffset>
            </wp:positionV>
            <wp:extent cx="5803438" cy="883920"/>
            <wp:effectExtent l="0" t="0" r="0" b="0"/>
            <wp:wrapTopAndBottom/>
            <wp:docPr id="4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38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ações classificadas como perda possível são compostas por ações de natureza trabalhista e cível, demonstradas a seguir: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240" w:lineRule="auto" w:before="161" w:after="0"/>
        <w:ind w:left="692" w:right="0" w:hanging="556"/>
        <w:jc w:val="left"/>
        <w:rPr>
          <w:b w:val="0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899998</wp:posOffset>
            </wp:positionH>
            <wp:positionV relativeFrom="paragraph">
              <wp:posOffset>349521</wp:posOffset>
            </wp:positionV>
            <wp:extent cx="5790023" cy="1420368"/>
            <wp:effectExtent l="0" t="0" r="0" b="0"/>
            <wp:wrapTopAndBottom/>
            <wp:docPr id="4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023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7C7B7B"/>
        </w:rPr>
        <w:t>Movimentação de Demandas</w:t>
      </w:r>
      <w:r>
        <w:rPr>
          <w:b w:val="0"/>
          <w:color w:val="7C7B7B"/>
          <w:spacing w:val="-3"/>
        </w:rPr>
        <w:t> </w:t>
      </w:r>
      <w:r>
        <w:rPr>
          <w:b w:val="0"/>
          <w:color w:val="7C7B7B"/>
        </w:rPr>
        <w:t>Judiciais</w:t>
      </w:r>
    </w:p>
    <w:p>
      <w:pPr>
        <w:pStyle w:val="BodyText"/>
        <w:rPr>
          <w:rFonts w:ascii="Roboto"/>
          <w:b w:val="0"/>
          <w:sz w:val="26"/>
        </w:rPr>
      </w:pPr>
    </w:p>
    <w:p>
      <w:pPr>
        <w:pStyle w:val="BodyText"/>
        <w:spacing w:before="2"/>
        <w:rPr>
          <w:rFonts w:ascii="Roboto"/>
          <w:b w:val="0"/>
        </w:rPr>
      </w:pPr>
    </w:p>
    <w:p>
      <w:pPr>
        <w:pStyle w:val="ListParagraph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0" w:after="0"/>
        <w:ind w:left="616" w:right="0" w:hanging="480"/>
        <w:jc w:val="left"/>
        <w:rPr>
          <w:b w:val="0"/>
          <w:sz w:val="22"/>
        </w:rPr>
      </w:pPr>
      <w:r>
        <w:rPr>
          <w:b w:val="0"/>
          <w:color w:val="9D534E"/>
          <w:spacing w:val="-3"/>
          <w:sz w:val="22"/>
        </w:rPr>
        <w:t>PATRIMÔNIO</w:t>
      </w:r>
      <w:r>
        <w:rPr>
          <w:b w:val="0"/>
          <w:color w:val="9D534E"/>
          <w:spacing w:val="-1"/>
          <w:sz w:val="22"/>
        </w:rPr>
        <w:t> </w:t>
      </w:r>
      <w:r>
        <w:rPr>
          <w:b w:val="0"/>
          <w:color w:val="9D534E"/>
          <w:sz w:val="22"/>
        </w:rPr>
        <w:t>LÍQUIDO</w:t>
      </w:r>
    </w:p>
    <w:p>
      <w:pPr>
        <w:pStyle w:val="BodyText"/>
        <w:spacing w:before="6"/>
        <w:rPr>
          <w:rFonts w:ascii="Roboto"/>
          <w:b w:val="0"/>
          <w:sz w:val="9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899998</wp:posOffset>
            </wp:positionH>
            <wp:positionV relativeFrom="paragraph">
              <wp:posOffset>104251</wp:posOffset>
            </wp:positionV>
            <wp:extent cx="5799071" cy="1456944"/>
            <wp:effectExtent l="0" t="0" r="0" b="0"/>
            <wp:wrapTopAndBottom/>
            <wp:docPr id="4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071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Roboto"/>
          <w:b w:val="0"/>
          <w:sz w:val="33"/>
        </w:rPr>
      </w:pPr>
    </w:p>
    <w:p>
      <w:pPr>
        <w:pStyle w:val="ListParagraph"/>
        <w:numPr>
          <w:ilvl w:val="1"/>
          <w:numId w:val="7"/>
        </w:numPr>
        <w:tabs>
          <w:tab w:pos="684" w:val="left" w:leader="none"/>
        </w:tabs>
        <w:spacing w:line="240" w:lineRule="auto" w:before="1" w:after="0"/>
        <w:ind w:left="683" w:right="0" w:hanging="547"/>
        <w:jc w:val="left"/>
        <w:rPr>
          <w:b w:val="0"/>
          <w:sz w:val="22"/>
        </w:rPr>
      </w:pPr>
      <w:r>
        <w:rPr>
          <w:b w:val="0"/>
          <w:sz w:val="22"/>
        </w:rPr>
        <w:t>Capital Social/Adiantamento para Futuro Aumento de Capital –</w:t>
      </w:r>
      <w:r>
        <w:rPr>
          <w:b w:val="0"/>
          <w:spacing w:val="-18"/>
          <w:sz w:val="22"/>
        </w:rPr>
        <w:t> </w:t>
      </w:r>
      <w:r>
        <w:rPr>
          <w:b w:val="0"/>
          <w:spacing w:val="-6"/>
          <w:sz w:val="22"/>
        </w:rPr>
        <w:t>AFAC</w:t>
      </w:r>
    </w:p>
    <w:p>
      <w:pPr>
        <w:pStyle w:val="BodyText"/>
        <w:spacing w:line="252" w:lineRule="auto" w:before="176"/>
        <w:ind w:left="137" w:right="113" w:firstLine="226"/>
        <w:jc w:val="both"/>
      </w:pPr>
      <w:r>
        <w:rPr/>
        <w:t>Em 2019, ocorreu a integralização do capital social no montante de R$ 9.685.569, proveniente dos recursos registrados como Adiantamento para Futuro Aumento de Capital – </w:t>
      </w:r>
      <w:r>
        <w:rPr>
          <w:spacing w:val="-5"/>
        </w:rPr>
        <w:t>AFAC, </w:t>
      </w:r>
      <w:r>
        <w:rPr/>
        <w:t>conforme Ata</w:t>
      </w:r>
      <w:r>
        <w:rPr>
          <w:spacing w:val="-15"/>
        </w:rPr>
        <w:t> </w:t>
      </w:r>
      <w:r>
        <w:rPr/>
        <w:t>da</w:t>
      </w:r>
      <w:r>
        <w:rPr>
          <w:spacing w:val="-14"/>
        </w:rPr>
        <w:t> </w:t>
      </w:r>
      <w:r>
        <w:rPr/>
        <w:t>1ª</w:t>
      </w:r>
      <w:r>
        <w:rPr>
          <w:spacing w:val="-14"/>
        </w:rPr>
        <w:t> </w:t>
      </w:r>
      <w:r>
        <w:rPr/>
        <w:t>Assembleia</w:t>
      </w:r>
      <w:r>
        <w:rPr>
          <w:spacing w:val="-14"/>
        </w:rPr>
        <w:t> </w:t>
      </w:r>
      <w:r>
        <w:rPr/>
        <w:t>Geral</w:t>
      </w:r>
      <w:r>
        <w:rPr>
          <w:spacing w:val="-14"/>
        </w:rPr>
        <w:t> </w:t>
      </w:r>
      <w:r>
        <w:rPr/>
        <w:t>Ordinária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-4"/>
        </w:rPr>
        <w:t>AGO,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26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abril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2019.</w:t>
      </w:r>
      <w:r>
        <w:rPr>
          <w:spacing w:val="-14"/>
        </w:rPr>
        <w:t> </w:t>
      </w:r>
      <w:r>
        <w:rPr/>
        <w:t>Após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integralização,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capital social passou a ser de R$</w:t>
      </w:r>
      <w:r>
        <w:rPr>
          <w:spacing w:val="-1"/>
        </w:rPr>
        <w:t> </w:t>
      </w:r>
      <w:r>
        <w:rPr/>
        <w:t>1.201.768.293.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1"/>
          <w:numId w:val="7"/>
        </w:numPr>
        <w:tabs>
          <w:tab w:pos="690" w:val="left" w:leader="none"/>
        </w:tabs>
        <w:spacing w:line="240" w:lineRule="auto" w:before="0" w:after="0"/>
        <w:ind w:left="689" w:right="0" w:hanging="553"/>
        <w:jc w:val="left"/>
        <w:rPr>
          <w:b w:val="0"/>
        </w:rPr>
      </w:pPr>
      <w:r>
        <w:rPr>
          <w:b w:val="0"/>
        </w:rPr>
        <w:t>Prejuízos</w:t>
      </w:r>
      <w:r>
        <w:rPr>
          <w:b w:val="0"/>
          <w:spacing w:val="-2"/>
        </w:rPr>
        <w:t> </w:t>
      </w:r>
      <w:r>
        <w:rPr>
          <w:b w:val="0"/>
        </w:rPr>
        <w:t>Acumulados</w:t>
      </w:r>
    </w:p>
    <w:p>
      <w:pPr>
        <w:pStyle w:val="BodyText"/>
        <w:spacing w:line="252" w:lineRule="auto" w:before="177"/>
        <w:ind w:left="137" w:right="113" w:firstLine="226"/>
        <w:jc w:val="both"/>
      </w:pPr>
      <w:r>
        <w:rPr/>
        <w:t>Após o encerramento do exercício, foi apurado um resultado positivo de R$ 143,9 milhões. Em razão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prejuízos</w:t>
      </w:r>
      <w:r>
        <w:rPr>
          <w:spacing w:val="-9"/>
        </w:rPr>
        <w:t> </w:t>
      </w:r>
      <w:r>
        <w:rPr/>
        <w:t>acumulados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exercícios</w:t>
      </w:r>
      <w:r>
        <w:rPr>
          <w:spacing w:val="-9"/>
        </w:rPr>
        <w:t> </w:t>
      </w:r>
      <w:r>
        <w:rPr/>
        <w:t>anteriores</w:t>
      </w:r>
      <w:r>
        <w:rPr>
          <w:spacing w:val="-9"/>
        </w:rPr>
        <w:t> </w:t>
      </w:r>
      <w:r>
        <w:rPr/>
        <w:t>(2018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R$</w:t>
      </w:r>
      <w:r>
        <w:rPr>
          <w:spacing w:val="-9"/>
        </w:rPr>
        <w:t> </w:t>
      </w:r>
      <w:r>
        <w:rPr/>
        <w:t>413.997.135),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saldo</w:t>
      </w:r>
      <w:r>
        <w:rPr>
          <w:spacing w:val="-9"/>
        </w:rPr>
        <w:t> </w:t>
      </w:r>
      <w:r>
        <w:rPr/>
        <w:t>apurado em 31 de dezembro de 2019 está negativo em R$</w:t>
      </w:r>
      <w:r>
        <w:rPr>
          <w:spacing w:val="-4"/>
        </w:rPr>
        <w:t> </w:t>
      </w:r>
      <w:r>
        <w:rPr/>
        <w:t>270.080.292.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169" w:after="0"/>
        <w:ind w:left="616" w:right="0" w:hanging="480"/>
        <w:jc w:val="left"/>
        <w:rPr>
          <w:b w:val="0"/>
        </w:rPr>
      </w:pPr>
      <w:r>
        <w:rPr>
          <w:b w:val="0"/>
          <w:color w:val="9D534E"/>
          <w:spacing w:val="-3"/>
        </w:rPr>
        <w:t>RECEITA </w:t>
      </w:r>
      <w:r>
        <w:rPr>
          <w:b w:val="0"/>
          <w:color w:val="9D534E"/>
        </w:rPr>
        <w:t>DE VENDAS</w:t>
      </w:r>
    </w:p>
    <w:p>
      <w:pPr>
        <w:pStyle w:val="BodyText"/>
        <w:rPr>
          <w:rFonts w:ascii="Roboto"/>
          <w:b w:val="0"/>
          <w:sz w:val="22"/>
        </w:rPr>
      </w:pPr>
    </w:p>
    <w:p>
      <w:pPr>
        <w:pStyle w:val="BodyText"/>
        <w:ind w:left="364"/>
      </w:pPr>
      <w:r>
        <w:rPr/>
        <w:t>A</w:t>
      </w:r>
      <w:r>
        <w:rPr>
          <w:spacing w:val="-23"/>
        </w:rPr>
        <w:t> </w:t>
      </w:r>
      <w:r>
        <w:rPr/>
        <w:t>receita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Companhia</w:t>
      </w:r>
      <w:r>
        <w:rPr>
          <w:spacing w:val="-22"/>
        </w:rPr>
        <w:t> </w:t>
      </w:r>
      <w:r>
        <w:rPr/>
        <w:t>em</w:t>
      </w:r>
      <w:r>
        <w:rPr>
          <w:spacing w:val="-23"/>
        </w:rPr>
        <w:t> </w:t>
      </w:r>
      <w:r>
        <w:rPr/>
        <w:t>2019</w:t>
      </w:r>
      <w:r>
        <w:rPr>
          <w:spacing w:val="-22"/>
        </w:rPr>
        <w:t> </w:t>
      </w:r>
      <w:r>
        <w:rPr/>
        <w:t>é</w:t>
      </w:r>
      <w:r>
        <w:rPr>
          <w:spacing w:val="-22"/>
        </w:rPr>
        <w:t> </w:t>
      </w:r>
      <w:r>
        <w:rPr/>
        <w:t>decorrente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vendas</w:t>
      </w:r>
      <w:r>
        <w:rPr>
          <w:spacing w:val="-23"/>
        </w:rPr>
        <w:t> </w:t>
      </w:r>
      <w:r>
        <w:rPr/>
        <w:t>do</w:t>
      </w:r>
      <w:r>
        <w:rPr>
          <w:spacing w:val="-22"/>
        </w:rPr>
        <w:t> </w:t>
      </w:r>
      <w:r>
        <w:rPr/>
        <w:t>medicamento</w:t>
      </w:r>
      <w:r>
        <w:rPr>
          <w:spacing w:val="-22"/>
        </w:rPr>
        <w:t> </w:t>
      </w:r>
      <w:r>
        <w:rPr/>
        <w:t>fator</w:t>
      </w:r>
      <w:r>
        <w:rPr>
          <w:spacing w:val="-22"/>
        </w:rPr>
        <w:t> </w:t>
      </w:r>
      <w:r>
        <w:rPr/>
        <w:t>VIII</w:t>
      </w:r>
      <w:r>
        <w:rPr>
          <w:spacing w:val="-22"/>
        </w:rPr>
        <w:t> </w:t>
      </w:r>
      <w:r>
        <w:rPr/>
        <w:t>recombinante</w:t>
      </w:r>
    </w:p>
    <w:p>
      <w:pPr>
        <w:pStyle w:val="BodyText"/>
        <w:spacing w:before="14"/>
        <w:ind w:left="137"/>
      </w:pPr>
      <w:r>
        <w:rPr/>
        <w:t>para o Ministério da Saúde, cujo valor foi de R$ 815.421.000.</w:t>
      </w:r>
    </w:p>
    <w:p>
      <w:pPr>
        <w:spacing w:after="0"/>
        <w:sectPr>
          <w:pgSz w:w="11910" w:h="16840"/>
          <w:pgMar w:header="593" w:footer="546" w:top="1280" w:bottom="740" w:left="1280" w:right="130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5776827" cy="841248"/>
            <wp:effectExtent l="0" t="0" r="0" b="0"/>
            <wp:docPr id="4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82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200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CUSTO DOS PRODUTOS E SERVIÇOS</w:t>
      </w:r>
      <w:r>
        <w:rPr>
          <w:b w:val="0"/>
          <w:color w:val="9D534E"/>
          <w:spacing w:val="-10"/>
        </w:rPr>
        <w:t> </w:t>
      </w:r>
      <w:r>
        <w:rPr>
          <w:b w:val="0"/>
          <w:color w:val="9D534E"/>
        </w:rPr>
        <w:t>VENDIDOS</w:t>
      </w:r>
    </w:p>
    <w:p>
      <w:pPr>
        <w:pStyle w:val="BodyText"/>
        <w:spacing w:before="8"/>
        <w:rPr>
          <w:rFonts w:ascii="Roboto"/>
          <w:b w:val="0"/>
          <w:sz w:val="23"/>
        </w:rPr>
      </w:pPr>
    </w:p>
    <w:p>
      <w:pPr>
        <w:pStyle w:val="BodyText"/>
        <w:ind w:left="364"/>
      </w:pPr>
      <w:r>
        <w:rPr/>
        <w:t>O custo dos produtos vendidos apresenta a seguinte composição: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899998</wp:posOffset>
            </wp:positionH>
            <wp:positionV relativeFrom="paragraph">
              <wp:posOffset>104965</wp:posOffset>
            </wp:positionV>
            <wp:extent cx="5780363" cy="1402079"/>
            <wp:effectExtent l="0" t="0" r="0" b="0"/>
            <wp:wrapTopAndBottom/>
            <wp:docPr id="4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363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3" w:lineRule="auto"/>
        <w:ind w:left="137" w:right="112" w:firstLine="226"/>
        <w:jc w:val="both"/>
      </w:pPr>
      <w:r>
        <w:rPr/>
        <w:t>Em relação ao custo de produtos vendidos, a variação foi resultado do aumento do preço de compra do medicamento e da maior quantidade distribuída. A redução no valor do frete deveu-se à negociação realizada com o fornecedor </w:t>
      </w:r>
      <w:r>
        <w:rPr>
          <w:spacing w:val="-3"/>
        </w:rPr>
        <w:t>Takeda, </w:t>
      </w:r>
      <w:r>
        <w:rPr/>
        <w:t>para que este assumisse 50% do valor do frete, ficando</w:t>
      </w:r>
      <w:r>
        <w:rPr>
          <w:spacing w:val="-14"/>
        </w:rPr>
        <w:t> </w:t>
      </w:r>
      <w:r>
        <w:rPr/>
        <w:t>os</w:t>
      </w:r>
      <w:r>
        <w:rPr>
          <w:spacing w:val="-13"/>
        </w:rPr>
        <w:t> </w:t>
      </w:r>
      <w:r>
        <w:rPr/>
        <w:t>outros</w:t>
      </w:r>
      <w:r>
        <w:rPr>
          <w:spacing w:val="-14"/>
        </w:rPr>
        <w:t> </w:t>
      </w:r>
      <w:r>
        <w:rPr/>
        <w:t>50%</w:t>
      </w:r>
      <w:r>
        <w:rPr>
          <w:spacing w:val="-13"/>
        </w:rPr>
        <w:t> </w:t>
      </w:r>
      <w:r>
        <w:rPr/>
        <w:t>sob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responsabilidade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Hemobrás.</w:t>
      </w:r>
      <w:r>
        <w:rPr>
          <w:spacing w:val="-13"/>
        </w:rPr>
        <w:t> </w:t>
      </w:r>
      <w:r>
        <w:rPr/>
        <w:t>Houve</w:t>
      </w:r>
      <w:r>
        <w:rPr>
          <w:spacing w:val="-14"/>
        </w:rPr>
        <w:t> </w:t>
      </w:r>
      <w:r>
        <w:rPr/>
        <w:t>ainda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redução</w:t>
      </w:r>
      <w:r>
        <w:rPr>
          <w:spacing w:val="-14"/>
        </w:rPr>
        <w:t> </w:t>
      </w:r>
      <w:r>
        <w:rPr/>
        <w:t>dos</w:t>
      </w:r>
      <w:r>
        <w:rPr>
          <w:spacing w:val="-13"/>
        </w:rPr>
        <w:t> </w:t>
      </w:r>
      <w:r>
        <w:rPr/>
        <w:t>custos de armazenagem no aeroporto do Recife-PE, devida à negociação de novas taxas para o período de desembaraço dos</w:t>
      </w:r>
      <w:r>
        <w:rPr>
          <w:spacing w:val="-1"/>
        </w:rPr>
        <w:t> </w:t>
      </w:r>
      <w:r>
        <w:rPr/>
        <w:t>medicamentos.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168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SALÁRIOS E</w:t>
      </w:r>
      <w:r>
        <w:rPr>
          <w:b w:val="0"/>
          <w:color w:val="9D534E"/>
          <w:spacing w:val="-3"/>
        </w:rPr>
        <w:t> </w:t>
      </w:r>
      <w:r>
        <w:rPr>
          <w:b w:val="0"/>
          <w:color w:val="9D534E"/>
        </w:rPr>
        <w:t>ENCARGOS</w:t>
      </w:r>
    </w:p>
    <w:p>
      <w:pPr>
        <w:pStyle w:val="BodyText"/>
        <w:spacing w:before="8"/>
        <w:rPr>
          <w:rFonts w:ascii="Roboto"/>
          <w:b w:val="0"/>
          <w:sz w:val="23"/>
        </w:rPr>
      </w:pPr>
    </w:p>
    <w:p>
      <w:pPr>
        <w:pStyle w:val="BodyText"/>
        <w:ind w:left="364"/>
      </w:pPr>
      <w:r>
        <w:rPr/>
        <w:t>A seguir estão as principais variações das despesas administrativas entre os anos: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899998</wp:posOffset>
            </wp:positionH>
            <wp:positionV relativeFrom="paragraph">
              <wp:posOffset>99591</wp:posOffset>
            </wp:positionV>
            <wp:extent cx="5766616" cy="2234565"/>
            <wp:effectExtent l="0" t="0" r="0" b="0"/>
            <wp:wrapTopAndBottom/>
            <wp:docPr id="5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616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73" w:lineRule="auto"/>
        <w:ind w:left="137" w:right="112" w:firstLine="226"/>
        <w:jc w:val="both"/>
      </w:pPr>
      <w:r>
        <w:rPr/>
        <w:t>O acréscimo nas contas de Remuneração, INSS, Auxílio Alimentação, Férias, FGTS, 13º Salário e Plano de Saúde que totaliza o montante de R$ 30.072.540 deve-se aos seguintes eventos: (i) concessão de aumento salarial devido aos acordos coletivos de trabalho – ACT de 2017/2018 e 2018/2019,</w:t>
      </w:r>
      <w:r>
        <w:rPr>
          <w:spacing w:val="-35"/>
        </w:rPr>
        <w:t> </w:t>
      </w:r>
      <w:r>
        <w:rPr/>
        <w:t>que</w:t>
      </w:r>
      <w:r>
        <w:rPr>
          <w:spacing w:val="-36"/>
        </w:rPr>
        <w:t> </w:t>
      </w:r>
      <w:r>
        <w:rPr>
          <w:spacing w:val="-3"/>
        </w:rPr>
        <w:t>estavam</w:t>
      </w:r>
      <w:r>
        <w:rPr>
          <w:spacing w:val="-34"/>
        </w:rPr>
        <w:t> </w:t>
      </w:r>
      <w:r>
        <w:rPr/>
        <w:t>em</w:t>
      </w:r>
      <w:r>
        <w:rPr>
          <w:spacing w:val="-35"/>
        </w:rPr>
        <w:t> </w:t>
      </w:r>
      <w:r>
        <w:rPr>
          <w:spacing w:val="-3"/>
        </w:rPr>
        <w:t>dissídio</w:t>
      </w:r>
      <w:r>
        <w:rPr>
          <w:spacing w:val="-35"/>
        </w:rPr>
        <w:t> </w:t>
      </w:r>
      <w:r>
        <w:rPr/>
        <w:t>coletivo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nº</w:t>
      </w:r>
      <w:r>
        <w:rPr>
          <w:spacing w:val="-35"/>
        </w:rPr>
        <w:t> </w:t>
      </w:r>
      <w:r>
        <w:rPr/>
        <w:t>0000676-28.2018.5.06.0000,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do</w:t>
      </w:r>
      <w:r>
        <w:rPr>
          <w:spacing w:val="-35"/>
        </w:rPr>
        <w:t> </w:t>
      </w:r>
      <w:r>
        <w:rPr>
          <w:spacing w:val="-3"/>
        </w:rPr>
        <w:t>ACT</w:t>
      </w:r>
      <w:r>
        <w:rPr>
          <w:spacing w:val="-37"/>
        </w:rPr>
        <w:t> </w:t>
      </w:r>
      <w:r>
        <w:rPr/>
        <w:t>2019/2020; e (ii) aumento do quadro de colaboradores, que totalizaram o montante de (R$</w:t>
      </w:r>
      <w:r>
        <w:rPr>
          <w:spacing w:val="-30"/>
        </w:rPr>
        <w:t> </w:t>
      </w:r>
      <w:r>
        <w:rPr/>
        <w:t>30.072.540).</w:t>
      </w:r>
    </w:p>
    <w:p>
      <w:pPr>
        <w:spacing w:after="0" w:line="273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63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DESPESAS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GERAIS</w:t>
      </w:r>
    </w:p>
    <w:p>
      <w:pPr>
        <w:pStyle w:val="BodyText"/>
        <w:spacing w:before="12"/>
        <w:rPr>
          <w:rFonts w:ascii="Roboto"/>
          <w:b w:val="0"/>
        </w:rPr>
      </w:pPr>
    </w:p>
    <w:p>
      <w:pPr>
        <w:pStyle w:val="BodyText"/>
        <w:spacing w:line="252" w:lineRule="auto"/>
        <w:ind w:left="137" w:right="114" w:firstLine="226"/>
        <w:jc w:val="both"/>
      </w:pPr>
      <w:r>
        <w:rPr/>
        <w:t>O saldo da conta de despesas gerais totaliza o valor de (R$ 68.597.419) e é composto pelas contas a seguir: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899998</wp:posOffset>
            </wp:positionH>
            <wp:positionV relativeFrom="paragraph">
              <wp:posOffset>166300</wp:posOffset>
            </wp:positionV>
            <wp:extent cx="5767506" cy="2433161"/>
            <wp:effectExtent l="0" t="0" r="0" b="0"/>
            <wp:wrapTopAndBottom/>
            <wp:docPr id="5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506" cy="2433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Heading1"/>
        <w:numPr>
          <w:ilvl w:val="1"/>
          <w:numId w:val="8"/>
        </w:numPr>
        <w:tabs>
          <w:tab w:pos="685" w:val="left" w:leader="none"/>
        </w:tabs>
        <w:spacing w:line="240" w:lineRule="auto" w:before="165" w:after="0"/>
        <w:ind w:left="684" w:right="0" w:hanging="548"/>
        <w:jc w:val="left"/>
        <w:rPr>
          <w:b w:val="0"/>
        </w:rPr>
      </w:pPr>
      <w:r>
        <w:rPr>
          <w:b w:val="0"/>
        </w:rPr>
        <w:t>Perdas ou</w:t>
      </w:r>
      <w:r>
        <w:rPr>
          <w:b w:val="0"/>
          <w:spacing w:val="-3"/>
        </w:rPr>
        <w:t> </w:t>
      </w:r>
      <w:r>
        <w:rPr>
          <w:b w:val="0"/>
        </w:rPr>
        <w:t>Glosa</w:t>
      </w:r>
    </w:p>
    <w:p>
      <w:pPr>
        <w:pStyle w:val="BodyText"/>
        <w:spacing w:line="252" w:lineRule="auto" w:before="175"/>
        <w:ind w:left="137" w:right="114" w:firstLine="226"/>
        <w:jc w:val="both"/>
      </w:pPr>
      <w:r>
        <w:rPr/>
        <w:t>A</w:t>
      </w:r>
      <w:r>
        <w:rPr>
          <w:spacing w:val="-8"/>
        </w:rPr>
        <w:t> </w:t>
      </w:r>
      <w:r>
        <w:rPr/>
        <w:t>conta</w:t>
      </w:r>
      <w:r>
        <w:rPr>
          <w:spacing w:val="-8"/>
        </w:rPr>
        <w:t> </w:t>
      </w:r>
      <w:r>
        <w:rPr/>
        <w:t>Despesas</w:t>
      </w:r>
      <w:r>
        <w:rPr>
          <w:spacing w:val="-7"/>
        </w:rPr>
        <w:t> </w:t>
      </w:r>
      <w:r>
        <w:rPr/>
        <w:t>com</w:t>
      </w:r>
      <w:r>
        <w:rPr>
          <w:spacing w:val="-8"/>
        </w:rPr>
        <w:t> </w:t>
      </w:r>
      <w:r>
        <w:rPr/>
        <w:t>Perdas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/>
        <w:t>composta</w:t>
      </w:r>
      <w:r>
        <w:rPr>
          <w:spacing w:val="-8"/>
        </w:rPr>
        <w:t> </w:t>
      </w:r>
      <w:r>
        <w:rPr/>
        <w:t>pelo</w:t>
      </w:r>
      <w:r>
        <w:rPr>
          <w:spacing w:val="-8"/>
        </w:rPr>
        <w:t> </w:t>
      </w:r>
      <w:r>
        <w:rPr/>
        <w:t>valor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R$</w:t>
      </w:r>
      <w:r>
        <w:rPr>
          <w:spacing w:val="-8"/>
        </w:rPr>
        <w:t> </w:t>
      </w:r>
      <w:r>
        <w:rPr/>
        <w:t>12,3</w:t>
      </w:r>
      <w:r>
        <w:rPr>
          <w:spacing w:val="-7"/>
        </w:rPr>
        <w:t> </w:t>
      </w:r>
      <w:r>
        <w:rPr/>
        <w:t>milhões,</w:t>
      </w:r>
      <w:r>
        <w:rPr>
          <w:spacing w:val="-9"/>
        </w:rPr>
        <w:t> </w:t>
      </w:r>
      <w:r>
        <w:rPr/>
        <w:t>referente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/>
        <w:t>efetivação da perda dos medicamentos hemoderivados que estavam no estoque da Companhia. O valor de R$</w:t>
      </w:r>
      <w:r>
        <w:rPr>
          <w:spacing w:val="-22"/>
        </w:rPr>
        <w:t> </w:t>
      </w:r>
      <w:r>
        <w:rPr/>
        <w:t>14,7</w:t>
      </w:r>
      <w:r>
        <w:rPr>
          <w:spacing w:val="-21"/>
        </w:rPr>
        <w:t> </w:t>
      </w:r>
      <w:r>
        <w:rPr/>
        <w:t>milhões</w:t>
      </w:r>
      <w:r>
        <w:rPr>
          <w:spacing w:val="-22"/>
        </w:rPr>
        <w:t> </w:t>
      </w:r>
      <w:r>
        <w:rPr/>
        <w:t>diz</w:t>
      </w:r>
      <w:r>
        <w:rPr>
          <w:spacing w:val="-21"/>
        </w:rPr>
        <w:t> </w:t>
      </w:r>
      <w:r>
        <w:rPr/>
        <w:t>respeito</w:t>
      </w:r>
      <w:r>
        <w:rPr>
          <w:spacing w:val="-21"/>
        </w:rPr>
        <w:t> </w:t>
      </w:r>
      <w:r>
        <w:rPr/>
        <w:t>à</w:t>
      </w:r>
      <w:r>
        <w:rPr>
          <w:spacing w:val="-22"/>
        </w:rPr>
        <w:t> </w:t>
      </w:r>
      <w:r>
        <w:rPr/>
        <w:t>perda</w:t>
      </w:r>
      <w:r>
        <w:rPr>
          <w:spacing w:val="-21"/>
        </w:rPr>
        <w:t> </w:t>
      </w:r>
      <w:r>
        <w:rPr/>
        <w:t>referente</w:t>
      </w:r>
      <w:r>
        <w:rPr>
          <w:spacing w:val="-21"/>
        </w:rPr>
        <w:t> </w:t>
      </w:r>
      <w:r>
        <w:rPr/>
        <w:t>à</w:t>
      </w:r>
      <w:r>
        <w:rPr>
          <w:spacing w:val="-22"/>
        </w:rPr>
        <w:t> </w:t>
      </w:r>
      <w:r>
        <w:rPr/>
        <w:t>glosa</w:t>
      </w:r>
      <w:r>
        <w:rPr>
          <w:spacing w:val="-21"/>
        </w:rPr>
        <w:t> </w:t>
      </w:r>
      <w:r>
        <w:rPr/>
        <w:t>financeira</w:t>
      </w:r>
      <w:r>
        <w:rPr>
          <w:spacing w:val="-21"/>
        </w:rPr>
        <w:t> </w:t>
      </w:r>
      <w:r>
        <w:rPr/>
        <w:t>dos</w:t>
      </w:r>
      <w:r>
        <w:rPr>
          <w:spacing w:val="-22"/>
        </w:rPr>
        <w:t> </w:t>
      </w:r>
      <w:r>
        <w:rPr/>
        <w:t>medicamentos</w:t>
      </w:r>
      <w:r>
        <w:rPr>
          <w:spacing w:val="-21"/>
        </w:rPr>
        <w:t> </w:t>
      </w:r>
      <w:r>
        <w:rPr/>
        <w:t>hemoderivados que</w:t>
      </w:r>
      <w:r>
        <w:rPr>
          <w:spacing w:val="-19"/>
        </w:rPr>
        <w:t> </w:t>
      </w:r>
      <w:r>
        <w:rPr/>
        <w:t>não</w:t>
      </w:r>
      <w:r>
        <w:rPr>
          <w:spacing w:val="-18"/>
        </w:rPr>
        <w:t> </w:t>
      </w:r>
      <w:r>
        <w:rPr/>
        <w:t>foram</w:t>
      </w:r>
      <w:r>
        <w:rPr>
          <w:spacing w:val="-19"/>
        </w:rPr>
        <w:t> </w:t>
      </w:r>
      <w:r>
        <w:rPr/>
        <w:t>entregues</w:t>
      </w:r>
      <w:r>
        <w:rPr>
          <w:spacing w:val="-18"/>
        </w:rPr>
        <w:t> </w:t>
      </w:r>
      <w:r>
        <w:rPr/>
        <w:t>ao</w:t>
      </w:r>
      <w:r>
        <w:rPr>
          <w:spacing w:val="-18"/>
        </w:rPr>
        <w:t> </w:t>
      </w:r>
      <w:r>
        <w:rPr/>
        <w:t>Ministério</w:t>
      </w:r>
      <w:r>
        <w:rPr>
          <w:spacing w:val="-19"/>
        </w:rPr>
        <w:t> </w:t>
      </w:r>
      <w:r>
        <w:rPr/>
        <w:t>da</w:t>
      </w:r>
      <w:r>
        <w:rPr>
          <w:spacing w:val="-18"/>
        </w:rPr>
        <w:t> </w:t>
      </w:r>
      <w:r>
        <w:rPr/>
        <w:t>Saúde</w:t>
      </w:r>
      <w:r>
        <w:rPr>
          <w:spacing w:val="-19"/>
        </w:rPr>
        <w:t> </w:t>
      </w:r>
      <w:r>
        <w:rPr/>
        <w:t>(Contrato</w:t>
      </w:r>
      <w:r>
        <w:rPr>
          <w:spacing w:val="-18"/>
        </w:rPr>
        <w:t> </w:t>
      </w:r>
      <w:r>
        <w:rPr/>
        <w:t>nº</w:t>
      </w:r>
      <w:r>
        <w:rPr>
          <w:spacing w:val="-18"/>
        </w:rPr>
        <w:t> </w:t>
      </w:r>
      <w:r>
        <w:rPr/>
        <w:t>123/2013)</w:t>
      </w:r>
      <w:r>
        <w:rPr>
          <w:spacing w:val="-19"/>
        </w:rPr>
        <w:t> </w:t>
      </w:r>
      <w:r>
        <w:rPr/>
        <w:t>devido</w:t>
      </w:r>
      <w:r>
        <w:rPr>
          <w:spacing w:val="-18"/>
        </w:rPr>
        <w:t> </w:t>
      </w:r>
      <w:r>
        <w:rPr/>
        <w:t>ao</w:t>
      </w:r>
      <w:r>
        <w:rPr>
          <w:spacing w:val="-19"/>
        </w:rPr>
        <w:t> </w:t>
      </w:r>
      <w:r>
        <w:rPr/>
        <w:t>problema</w:t>
      </w:r>
      <w:r>
        <w:rPr>
          <w:spacing w:val="-18"/>
        </w:rPr>
        <w:t> </w:t>
      </w:r>
      <w:r>
        <w:rPr/>
        <w:t>com</w:t>
      </w:r>
      <w:r>
        <w:rPr>
          <w:spacing w:val="-18"/>
        </w:rPr>
        <w:t> </w:t>
      </w:r>
      <w:r>
        <w:rPr/>
        <w:t>o Certificado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Boas</w:t>
      </w:r>
      <w:r>
        <w:rPr>
          <w:spacing w:val="-8"/>
        </w:rPr>
        <w:t> </w:t>
      </w:r>
      <w:r>
        <w:rPr/>
        <w:t>Práticas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Fabricação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CBPF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fracionador</w:t>
      </w:r>
      <w:r>
        <w:rPr>
          <w:spacing w:val="-7"/>
        </w:rPr>
        <w:t> </w:t>
      </w:r>
      <w:r>
        <w:rPr/>
        <w:t>desses</w:t>
      </w:r>
      <w:r>
        <w:rPr>
          <w:spacing w:val="-8"/>
        </w:rPr>
        <w:t> </w:t>
      </w:r>
      <w:r>
        <w:rPr/>
        <w:t>medicamentos,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serão ressarcidos pelo fabricante à</w:t>
      </w:r>
      <w:r>
        <w:rPr>
          <w:spacing w:val="-2"/>
        </w:rPr>
        <w:t> </w:t>
      </w:r>
      <w:r>
        <w:rPr/>
        <w:t>Hemobrás.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691" w:val="left" w:leader="none"/>
        </w:tabs>
        <w:spacing w:line="240" w:lineRule="auto" w:before="0" w:after="0"/>
        <w:ind w:left="690" w:right="0" w:hanging="554"/>
        <w:jc w:val="left"/>
        <w:rPr>
          <w:b w:val="0"/>
        </w:rPr>
      </w:pPr>
      <w:r>
        <w:rPr>
          <w:b w:val="0"/>
        </w:rPr>
        <w:t>Movimentação e</w:t>
      </w:r>
      <w:r>
        <w:rPr>
          <w:b w:val="0"/>
          <w:spacing w:val="-2"/>
        </w:rPr>
        <w:t> </w:t>
      </w:r>
      <w:r>
        <w:rPr>
          <w:b w:val="0"/>
        </w:rPr>
        <w:t>Armazenagem</w:t>
      </w:r>
    </w:p>
    <w:p>
      <w:pPr>
        <w:pStyle w:val="BodyText"/>
        <w:spacing w:line="252" w:lineRule="auto" w:before="175"/>
        <w:ind w:left="137" w:right="113" w:firstLine="226"/>
        <w:jc w:val="both"/>
      </w:pPr>
      <w:r>
        <w:rPr/>
        <w:t>O</w:t>
      </w:r>
      <w:r>
        <w:rPr>
          <w:spacing w:val="-19"/>
        </w:rPr>
        <w:t> </w:t>
      </w:r>
      <w:r>
        <w:rPr/>
        <w:t>saldo</w:t>
      </w:r>
      <w:r>
        <w:rPr>
          <w:spacing w:val="-18"/>
        </w:rPr>
        <w:t> </w:t>
      </w:r>
      <w:r>
        <w:rPr/>
        <w:t>da</w:t>
      </w:r>
      <w:r>
        <w:rPr>
          <w:spacing w:val="-19"/>
        </w:rPr>
        <w:t> </w:t>
      </w:r>
      <w:r>
        <w:rPr/>
        <w:t>conta</w:t>
      </w:r>
      <w:r>
        <w:rPr>
          <w:spacing w:val="-18"/>
        </w:rPr>
        <w:t> </w:t>
      </w:r>
      <w:r>
        <w:rPr/>
        <w:t>Armazenagem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Distribuição</w:t>
      </w:r>
      <w:r>
        <w:rPr>
          <w:spacing w:val="-19"/>
        </w:rPr>
        <w:t> </w:t>
      </w:r>
      <w:r>
        <w:rPr/>
        <w:t>no</w:t>
      </w:r>
      <w:r>
        <w:rPr>
          <w:spacing w:val="-18"/>
        </w:rPr>
        <w:t> </w:t>
      </w:r>
      <w:r>
        <w:rPr/>
        <w:t>montante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(R$</w:t>
      </w:r>
      <w:r>
        <w:rPr>
          <w:spacing w:val="-19"/>
        </w:rPr>
        <w:t> </w:t>
      </w:r>
      <w:r>
        <w:rPr/>
        <w:t>17.239.360)</w:t>
      </w:r>
      <w:r>
        <w:rPr>
          <w:spacing w:val="-18"/>
        </w:rPr>
        <w:t> </w:t>
      </w:r>
      <w:r>
        <w:rPr/>
        <w:t>refere-se</w:t>
      </w:r>
      <w:r>
        <w:rPr>
          <w:spacing w:val="-19"/>
        </w:rPr>
        <w:t> </w:t>
      </w:r>
      <w:r>
        <w:rPr/>
        <w:t>ao</w:t>
      </w:r>
      <w:r>
        <w:rPr>
          <w:spacing w:val="-18"/>
        </w:rPr>
        <w:t> </w:t>
      </w:r>
      <w:r>
        <w:rPr/>
        <w:t>valor pago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armazenagem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medicamentos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Hemobrás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pelo</w:t>
      </w:r>
      <w:r>
        <w:rPr>
          <w:spacing w:val="-7"/>
        </w:rPr>
        <w:t> </w:t>
      </w:r>
      <w:r>
        <w:rPr/>
        <w:t>transporte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distribuição</w:t>
      </w:r>
      <w:r>
        <w:rPr>
          <w:spacing w:val="-6"/>
        </w:rPr>
        <w:t> </w:t>
      </w:r>
      <w:r>
        <w:rPr/>
        <w:t>dos medicamentos fator VIII</w:t>
      </w:r>
      <w:r>
        <w:rPr>
          <w:spacing w:val="-3"/>
        </w:rPr>
        <w:t> </w:t>
      </w:r>
      <w:r>
        <w:rPr/>
        <w:t>recombinante.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682" w:val="left" w:leader="none"/>
        </w:tabs>
        <w:spacing w:line="240" w:lineRule="auto" w:before="0" w:after="0"/>
        <w:ind w:left="681" w:right="0" w:hanging="545"/>
        <w:jc w:val="left"/>
        <w:rPr>
          <w:b w:val="0"/>
        </w:rPr>
      </w:pPr>
      <w:r>
        <w:rPr>
          <w:b w:val="0"/>
        </w:rPr>
        <w:t>Conservação e</w:t>
      </w:r>
      <w:r>
        <w:rPr>
          <w:b w:val="0"/>
          <w:spacing w:val="-2"/>
        </w:rPr>
        <w:t> </w:t>
      </w:r>
      <w:r>
        <w:rPr>
          <w:b w:val="0"/>
        </w:rPr>
        <w:t>Manutenção</w:t>
      </w:r>
    </w:p>
    <w:p>
      <w:pPr>
        <w:pStyle w:val="BodyText"/>
        <w:spacing w:line="252" w:lineRule="auto" w:before="175"/>
        <w:ind w:left="137" w:right="111" w:firstLine="226"/>
        <w:jc w:val="both"/>
      </w:pPr>
      <w:r>
        <w:rPr/>
        <w:t>O valor da Despesa com Conversação e Manutenção no total de (R$ 7.207.788) corresponde principalmente</w:t>
      </w:r>
      <w:r>
        <w:rPr>
          <w:spacing w:val="-25"/>
        </w:rPr>
        <w:t> </w:t>
      </w:r>
      <w:r>
        <w:rPr/>
        <w:t>ao</w:t>
      </w:r>
      <w:r>
        <w:rPr>
          <w:spacing w:val="-24"/>
        </w:rPr>
        <w:t> </w:t>
      </w:r>
      <w:r>
        <w:rPr/>
        <w:t>serviço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manutenção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equipamentos,</w:t>
      </w:r>
      <w:r>
        <w:rPr>
          <w:spacing w:val="-25"/>
        </w:rPr>
        <w:t> </w:t>
      </w:r>
      <w:r>
        <w:rPr/>
        <w:t>serviço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caráter</w:t>
      </w:r>
      <w:r>
        <w:rPr>
          <w:spacing w:val="-24"/>
        </w:rPr>
        <w:t> </w:t>
      </w:r>
      <w:r>
        <w:rPr>
          <w:spacing w:val="-3"/>
        </w:rPr>
        <w:t>preventivo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>
          <w:spacing w:val="-3"/>
        </w:rPr>
        <w:t>corretivo </w:t>
      </w:r>
      <w:r>
        <w:rPr/>
        <w:t>nas</w:t>
      </w:r>
      <w:r>
        <w:rPr>
          <w:spacing w:val="-11"/>
        </w:rPr>
        <w:t> </w:t>
      </w:r>
      <w:r>
        <w:rPr/>
        <w:t>instalações</w:t>
      </w:r>
      <w:r>
        <w:rPr>
          <w:spacing w:val="-11"/>
        </w:rPr>
        <w:t> </w:t>
      </w:r>
      <w:r>
        <w:rPr/>
        <w:t>elétrico-prediais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ao</w:t>
      </w:r>
      <w:r>
        <w:rPr>
          <w:spacing w:val="-10"/>
        </w:rPr>
        <w:t> </w:t>
      </w:r>
      <w:r>
        <w:rPr/>
        <w:t>serviço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Revisão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Atividade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Suporte</w:t>
      </w:r>
      <w:r>
        <w:rPr>
          <w:spacing w:val="-10"/>
        </w:rPr>
        <w:t> </w:t>
      </w:r>
      <w:r>
        <w:rPr/>
        <w:t>(SAR)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sistema </w:t>
      </w:r>
      <w:r>
        <w:rPr>
          <w:spacing w:val="-9"/>
        </w:rPr>
        <w:t>ERP.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691" w:val="left" w:leader="none"/>
        </w:tabs>
        <w:spacing w:line="240" w:lineRule="auto" w:before="0" w:after="0"/>
        <w:ind w:left="690" w:right="0" w:hanging="554"/>
        <w:jc w:val="left"/>
        <w:rPr>
          <w:b w:val="0"/>
        </w:rPr>
      </w:pPr>
      <w:r>
        <w:rPr>
          <w:b w:val="0"/>
        </w:rPr>
        <w:t>Serviços de</w:t>
      </w:r>
      <w:r>
        <w:rPr>
          <w:b w:val="0"/>
          <w:spacing w:val="-9"/>
        </w:rPr>
        <w:t> </w:t>
      </w:r>
      <w:r>
        <w:rPr>
          <w:b w:val="0"/>
          <w:spacing w:val="-3"/>
        </w:rPr>
        <w:t>Terceiros</w:t>
      </w:r>
    </w:p>
    <w:p>
      <w:pPr>
        <w:pStyle w:val="BodyText"/>
        <w:spacing w:line="252" w:lineRule="auto" w:before="175"/>
        <w:ind w:left="137" w:right="115" w:firstLine="226"/>
        <w:jc w:val="both"/>
      </w:pPr>
      <w:r>
        <w:rPr/>
        <w:t>Os serviços de terceiros totalizaram (R$ 5.399.799) e equivalem, em maior parte, aos serviços de vigilância e ao serviço de locação de veículo com motorista. Também estão presentes neste grupo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despesas,</w:t>
      </w:r>
      <w:r>
        <w:rPr>
          <w:spacing w:val="-21"/>
        </w:rPr>
        <w:t> </w:t>
      </w:r>
      <w:r>
        <w:rPr/>
        <w:t>os</w:t>
      </w:r>
      <w:r>
        <w:rPr>
          <w:spacing w:val="-20"/>
        </w:rPr>
        <w:t> </w:t>
      </w:r>
      <w:r>
        <w:rPr/>
        <w:t>gastos</w:t>
      </w:r>
      <w:r>
        <w:rPr>
          <w:spacing w:val="-20"/>
        </w:rPr>
        <w:t> </w:t>
      </w:r>
      <w:r>
        <w:rPr/>
        <w:t>com</w:t>
      </w:r>
      <w:r>
        <w:rPr>
          <w:spacing w:val="-21"/>
        </w:rPr>
        <w:t> </w:t>
      </w:r>
      <w:r>
        <w:rPr/>
        <w:t>auditoria</w:t>
      </w:r>
      <w:r>
        <w:rPr>
          <w:spacing w:val="-20"/>
        </w:rPr>
        <w:t> </w:t>
      </w:r>
      <w:r>
        <w:rPr/>
        <w:t>contábil,</w:t>
      </w:r>
      <w:r>
        <w:rPr>
          <w:spacing w:val="-20"/>
        </w:rPr>
        <w:t> </w:t>
      </w:r>
      <w:r>
        <w:rPr/>
        <w:t>almoxarife,</w:t>
      </w:r>
      <w:r>
        <w:rPr>
          <w:spacing w:val="-21"/>
        </w:rPr>
        <w:t> </w:t>
      </w:r>
      <w:r>
        <w:rPr/>
        <w:t>copeiragem,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outros</w:t>
      </w:r>
      <w:r>
        <w:rPr>
          <w:spacing w:val="-21"/>
        </w:rPr>
        <w:t> </w:t>
      </w:r>
      <w:r>
        <w:rPr/>
        <w:t>serviços prestados.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686" w:val="left" w:leader="none"/>
        </w:tabs>
        <w:spacing w:line="240" w:lineRule="auto" w:before="0" w:after="0"/>
        <w:ind w:left="685" w:right="0" w:hanging="549"/>
        <w:jc w:val="left"/>
        <w:rPr>
          <w:b w:val="0"/>
        </w:rPr>
      </w:pPr>
      <w:r>
        <w:rPr>
          <w:b w:val="0"/>
        </w:rPr>
        <w:t>Utilidades</w:t>
      </w:r>
    </w:p>
    <w:p>
      <w:pPr>
        <w:pStyle w:val="BodyText"/>
        <w:spacing w:before="175"/>
        <w:ind w:left="364"/>
      </w:pPr>
      <w:r>
        <w:rPr/>
        <w:t>As</w:t>
      </w:r>
      <w:r>
        <w:rPr>
          <w:spacing w:val="-14"/>
        </w:rPr>
        <w:t> </w:t>
      </w:r>
      <w:r>
        <w:rPr/>
        <w:t>utilidades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somaram</w:t>
      </w:r>
      <w:r>
        <w:rPr>
          <w:spacing w:val="-13"/>
        </w:rPr>
        <w:t> </w:t>
      </w:r>
      <w:r>
        <w:rPr/>
        <w:t>(R$</w:t>
      </w:r>
      <w:r>
        <w:rPr>
          <w:spacing w:val="-13"/>
        </w:rPr>
        <w:t> </w:t>
      </w:r>
      <w:r>
        <w:rPr/>
        <w:t>2.858.958)</w:t>
      </w:r>
      <w:r>
        <w:rPr>
          <w:spacing w:val="-14"/>
        </w:rPr>
        <w:t> </w:t>
      </w:r>
      <w:r>
        <w:rPr/>
        <w:t>são</w:t>
      </w:r>
      <w:r>
        <w:rPr>
          <w:spacing w:val="-13"/>
        </w:rPr>
        <w:t> </w:t>
      </w:r>
      <w:r>
        <w:rPr/>
        <w:t>compostas</w:t>
      </w:r>
      <w:r>
        <w:rPr>
          <w:spacing w:val="-13"/>
        </w:rPr>
        <w:t> </w:t>
      </w:r>
      <w:r>
        <w:rPr/>
        <w:t>pelas</w:t>
      </w:r>
      <w:r>
        <w:rPr>
          <w:spacing w:val="-14"/>
        </w:rPr>
        <w:t> </w:t>
      </w:r>
      <w:r>
        <w:rPr/>
        <w:t>despesas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energia</w:t>
      </w:r>
      <w:r>
        <w:rPr>
          <w:spacing w:val="-14"/>
        </w:rPr>
        <w:t> </w:t>
      </w:r>
      <w:r>
        <w:rPr/>
        <w:t>elétrica,</w:t>
      </w:r>
    </w:p>
    <w:p>
      <w:pPr>
        <w:pStyle w:val="BodyText"/>
        <w:spacing w:before="12"/>
        <w:ind w:left="137"/>
      </w:pPr>
      <w:r>
        <w:rPr/>
        <w:t>internet, limpeza e conservação, telefonia fixa e móvel.</w:t>
      </w:r>
    </w:p>
    <w:p>
      <w:pPr>
        <w:spacing w:after="0"/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1"/>
          <w:numId w:val="8"/>
        </w:numPr>
        <w:tabs>
          <w:tab w:pos="646" w:val="left" w:leader="none"/>
        </w:tabs>
        <w:spacing w:line="240" w:lineRule="auto" w:before="63" w:after="0"/>
        <w:ind w:left="645" w:right="0" w:hanging="509"/>
        <w:jc w:val="left"/>
        <w:rPr>
          <w:b w:val="0"/>
        </w:rPr>
      </w:pPr>
      <w:r>
        <w:rPr>
          <w:b w:val="0"/>
        </w:rPr>
        <w:t>Aluguéis e</w:t>
      </w:r>
      <w:r>
        <w:rPr>
          <w:b w:val="0"/>
          <w:spacing w:val="-1"/>
        </w:rPr>
        <w:t> </w:t>
      </w:r>
      <w:r>
        <w:rPr>
          <w:b w:val="0"/>
        </w:rPr>
        <w:t>Condomínios</w:t>
      </w:r>
    </w:p>
    <w:p>
      <w:pPr>
        <w:pStyle w:val="BodyText"/>
        <w:spacing w:line="247" w:lineRule="auto" w:before="171"/>
        <w:ind w:left="137" w:right="112" w:firstLine="226"/>
        <w:jc w:val="both"/>
      </w:pPr>
      <w:r>
        <w:rPr/>
        <w:t>O</w:t>
      </w:r>
      <w:r>
        <w:rPr>
          <w:spacing w:val="-14"/>
        </w:rPr>
        <w:t> </w:t>
      </w:r>
      <w:r>
        <w:rPr/>
        <w:t>montante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(R$</w:t>
      </w:r>
      <w:r>
        <w:rPr>
          <w:spacing w:val="-14"/>
        </w:rPr>
        <w:t> </w:t>
      </w:r>
      <w:r>
        <w:rPr/>
        <w:t>1.698.729)</w:t>
      </w:r>
      <w:r>
        <w:rPr>
          <w:spacing w:val="-14"/>
        </w:rPr>
        <w:t> </w:t>
      </w:r>
      <w:r>
        <w:rPr/>
        <w:t>alocado</w:t>
      </w:r>
      <w:r>
        <w:rPr>
          <w:spacing w:val="-14"/>
        </w:rPr>
        <w:t> </w:t>
      </w:r>
      <w:r>
        <w:rPr/>
        <w:t>ao</w:t>
      </w:r>
      <w:r>
        <w:rPr>
          <w:spacing w:val="-13"/>
        </w:rPr>
        <w:t> </w:t>
      </w:r>
      <w:r>
        <w:rPr/>
        <w:t>grupo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aluguéis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condomínios</w:t>
      </w:r>
      <w:r>
        <w:rPr>
          <w:spacing w:val="-14"/>
        </w:rPr>
        <w:t> </w:t>
      </w:r>
      <w:r>
        <w:rPr/>
        <w:t>refere-se,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grande parte, aos valores pagos de aluguel das salas empresariais na matriz em Brasília-DF e na filial administrativa em Recife-PE. Além disto, soma-se a esta despesa o aluguel de</w:t>
      </w:r>
      <w:r>
        <w:rPr>
          <w:spacing w:val="-15"/>
        </w:rPr>
        <w:t> </w:t>
      </w:r>
      <w:r>
        <w:rPr/>
        <w:t>geradores.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692" w:val="left" w:leader="none"/>
        </w:tabs>
        <w:spacing w:line="240" w:lineRule="auto" w:before="0" w:after="0"/>
        <w:ind w:left="691" w:right="0" w:hanging="555"/>
        <w:jc w:val="left"/>
        <w:rPr>
          <w:b w:val="0"/>
        </w:rPr>
      </w:pPr>
      <w:r>
        <w:rPr>
          <w:b w:val="0"/>
        </w:rPr>
        <w:t>Seguros</w:t>
      </w:r>
    </w:p>
    <w:p>
      <w:pPr>
        <w:pStyle w:val="BodyText"/>
        <w:spacing w:before="171"/>
        <w:ind w:left="364"/>
      </w:pPr>
      <w:r>
        <w:rPr/>
        <w:t>O aumento é explicado pelo reconhecimento dos custos com prêmio de seguro vinculado ao</w:t>
      </w:r>
    </w:p>
    <w:p>
      <w:pPr>
        <w:pStyle w:val="BodyText"/>
        <w:spacing w:before="8"/>
        <w:ind w:left="137"/>
      </w:pPr>
      <w:r>
        <w:rPr/>
        <w:t>parque fabril em Goiana-PE. O valor reconhecido em 2019 perfaz o valor de (R$ 1.641.587).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175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PROVISÃO </w:t>
      </w:r>
      <w:r>
        <w:rPr>
          <w:b w:val="0"/>
          <w:color w:val="9D534E"/>
          <w:spacing w:val="-6"/>
        </w:rPr>
        <w:t>PARA</w:t>
      </w:r>
      <w:r>
        <w:rPr>
          <w:b w:val="0"/>
          <w:color w:val="9D534E"/>
          <w:spacing w:val="-4"/>
        </w:rPr>
        <w:t> </w:t>
      </w:r>
      <w:r>
        <w:rPr>
          <w:b w:val="0"/>
          <w:color w:val="9D534E"/>
        </w:rPr>
        <w:t>PERDA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/>
        <w:ind w:left="137" w:right="110" w:firstLine="226"/>
        <w:jc w:val="both"/>
      </w:pPr>
      <w:r>
        <w:rPr/>
        <w:t>Em 2018, foi reconhecido um valor de provisão para perdas de R$ 22.042.705, referente aos </w:t>
      </w:r>
      <w:r>
        <w:rPr>
          <w:spacing w:val="-4"/>
        </w:rPr>
        <w:t>medicamentos</w:t>
      </w:r>
      <w:r>
        <w:rPr>
          <w:spacing w:val="-33"/>
        </w:rPr>
        <w:t> </w:t>
      </w:r>
      <w:r>
        <w:rPr>
          <w:spacing w:val="-4"/>
        </w:rPr>
        <w:t>hemoderivados</w:t>
      </w:r>
      <w:r>
        <w:rPr>
          <w:spacing w:val="-33"/>
        </w:rPr>
        <w:t> </w:t>
      </w:r>
      <w:r>
        <w:rPr>
          <w:spacing w:val="-3"/>
        </w:rPr>
        <w:t>que</w:t>
      </w:r>
      <w:r>
        <w:rPr>
          <w:spacing w:val="-33"/>
        </w:rPr>
        <w:t> </w:t>
      </w:r>
      <w:r>
        <w:rPr/>
        <w:t>se</w:t>
      </w:r>
      <w:r>
        <w:rPr>
          <w:spacing w:val="-32"/>
        </w:rPr>
        <w:t> </w:t>
      </w:r>
      <w:r>
        <w:rPr>
          <w:spacing w:val="-5"/>
        </w:rPr>
        <w:t>encontravam</w:t>
      </w:r>
      <w:r>
        <w:rPr>
          <w:spacing w:val="-32"/>
        </w:rPr>
        <w:t> </w:t>
      </w:r>
      <w:r>
        <w:rPr/>
        <w:t>no</w:t>
      </w:r>
      <w:r>
        <w:rPr>
          <w:spacing w:val="-33"/>
        </w:rPr>
        <w:t> </w:t>
      </w:r>
      <w:r>
        <w:rPr>
          <w:spacing w:val="-4"/>
        </w:rPr>
        <w:t>estoque,</w:t>
      </w:r>
      <w:r>
        <w:rPr>
          <w:spacing w:val="-32"/>
        </w:rPr>
        <w:t> </w:t>
      </w:r>
      <w:r>
        <w:rPr>
          <w:spacing w:val="-3"/>
        </w:rPr>
        <w:t>mas</w:t>
      </w:r>
      <w:r>
        <w:rPr>
          <w:spacing w:val="-32"/>
        </w:rPr>
        <w:t> </w:t>
      </w:r>
      <w:r>
        <w:rPr>
          <w:spacing w:val="-5"/>
        </w:rPr>
        <w:t>tiveram</w:t>
      </w:r>
      <w:r>
        <w:rPr>
          <w:spacing w:val="-32"/>
        </w:rPr>
        <w:t> </w:t>
      </w:r>
      <w:r>
        <w:rPr>
          <w:spacing w:val="-3"/>
        </w:rPr>
        <w:t>sua</w:t>
      </w:r>
      <w:r>
        <w:rPr>
          <w:spacing w:val="-33"/>
        </w:rPr>
        <w:t> </w:t>
      </w:r>
      <w:r>
        <w:rPr>
          <w:spacing w:val="-4"/>
        </w:rPr>
        <w:t>distribuição</w:t>
      </w:r>
      <w:r>
        <w:rPr>
          <w:spacing w:val="-32"/>
        </w:rPr>
        <w:t> </w:t>
      </w:r>
      <w:r>
        <w:rPr>
          <w:spacing w:val="-4"/>
        </w:rPr>
        <w:t>suspensa, </w:t>
      </w:r>
      <w:r>
        <w:rPr/>
        <w:t>conforme nota explicativa nº 6. Ainda no ano de 2018, houve uma realização da provisão no valor R$</w:t>
      </w:r>
      <w:r>
        <w:rPr>
          <w:spacing w:val="-21"/>
        </w:rPr>
        <w:t> </w:t>
      </w:r>
      <w:r>
        <w:rPr/>
        <w:t>9.694.141,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foi</w:t>
      </w:r>
      <w:r>
        <w:rPr>
          <w:spacing w:val="-20"/>
        </w:rPr>
        <w:t> </w:t>
      </w:r>
      <w:r>
        <w:rPr/>
        <w:t>reconhecido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perda</w:t>
      </w:r>
      <w:r>
        <w:rPr>
          <w:spacing w:val="-20"/>
        </w:rPr>
        <w:t> </w:t>
      </w:r>
      <w:r>
        <w:rPr/>
        <w:t>real</w:t>
      </w:r>
      <w:r>
        <w:rPr>
          <w:spacing w:val="-20"/>
        </w:rPr>
        <w:t> </w:t>
      </w:r>
      <w:r>
        <w:rPr/>
        <w:t>referente</w:t>
      </w:r>
      <w:r>
        <w:rPr>
          <w:spacing w:val="-20"/>
        </w:rPr>
        <w:t> </w:t>
      </w:r>
      <w:r>
        <w:rPr/>
        <w:t>aos</w:t>
      </w:r>
      <w:r>
        <w:rPr>
          <w:spacing w:val="-20"/>
        </w:rPr>
        <w:t> </w:t>
      </w:r>
      <w:r>
        <w:rPr/>
        <w:t>medicamentos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fator</w:t>
      </w:r>
      <w:r>
        <w:rPr>
          <w:spacing w:val="-20"/>
        </w:rPr>
        <w:t> </w:t>
      </w:r>
      <w:r>
        <w:rPr/>
        <w:t>VIII</w:t>
      </w:r>
      <w:r>
        <w:rPr>
          <w:spacing w:val="-20"/>
        </w:rPr>
        <w:t> </w:t>
      </w:r>
      <w:r>
        <w:rPr/>
        <w:t>e</w:t>
      </w:r>
      <w:r>
        <w:rPr>
          <w:spacing w:val="-20"/>
        </w:rPr>
        <w:t> </w:t>
      </w:r>
      <w:r>
        <w:rPr/>
        <w:t>IX</w:t>
      </w:r>
      <w:r>
        <w:rPr>
          <w:spacing w:val="-20"/>
        </w:rPr>
        <w:t> </w:t>
      </w:r>
      <w:r>
        <w:rPr/>
        <w:t>– plasmáticos que estavam fora de especificação. A provisão para perda constituída em 2018 para esses medicamentos foi reconhecida em 2019. O estoque de plasma em elaboração e o valor de importação</w:t>
      </w:r>
      <w:r>
        <w:rPr>
          <w:spacing w:val="-19"/>
        </w:rPr>
        <w:t> </w:t>
      </w:r>
      <w:r>
        <w:rPr/>
        <w:t>em</w:t>
      </w:r>
      <w:r>
        <w:rPr>
          <w:spacing w:val="-19"/>
        </w:rPr>
        <w:t> </w:t>
      </w:r>
      <w:r>
        <w:rPr/>
        <w:t>andamento</w:t>
      </w:r>
      <w:r>
        <w:rPr>
          <w:spacing w:val="-19"/>
        </w:rPr>
        <w:t> </w:t>
      </w:r>
      <w:r>
        <w:rPr/>
        <w:t>constituíram</w:t>
      </w:r>
      <w:r>
        <w:rPr>
          <w:spacing w:val="-19"/>
        </w:rPr>
        <w:t> </w:t>
      </w:r>
      <w:r>
        <w:rPr/>
        <w:t>uma</w:t>
      </w:r>
      <w:r>
        <w:rPr>
          <w:spacing w:val="-18"/>
        </w:rPr>
        <w:t> </w:t>
      </w:r>
      <w:r>
        <w:rPr/>
        <w:t>nova</w:t>
      </w:r>
      <w:r>
        <w:rPr>
          <w:spacing w:val="-19"/>
        </w:rPr>
        <w:t> </w:t>
      </w:r>
      <w:r>
        <w:rPr/>
        <w:t>provisão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perdas,</w:t>
      </w:r>
      <w:r>
        <w:rPr>
          <w:spacing w:val="-18"/>
        </w:rPr>
        <w:t> </w:t>
      </w:r>
      <w:r>
        <w:rPr/>
        <w:t>diante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impossibilidade do seu fracionamento, conforme descrito na nota explicativa</w:t>
      </w:r>
      <w:r>
        <w:rPr>
          <w:spacing w:val="-6"/>
        </w:rPr>
        <w:t> </w:t>
      </w:r>
      <w:r>
        <w:rPr/>
        <w:t>06.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899998</wp:posOffset>
            </wp:positionH>
            <wp:positionV relativeFrom="paragraph">
              <wp:posOffset>106938</wp:posOffset>
            </wp:positionV>
            <wp:extent cx="5773643" cy="633984"/>
            <wp:effectExtent l="0" t="0" r="0" b="0"/>
            <wp:wrapTopAndBottom/>
            <wp:docPr id="5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643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73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OUTRAS DESPESAS /</w:t>
      </w:r>
      <w:r>
        <w:rPr>
          <w:b w:val="0"/>
          <w:color w:val="9D534E"/>
          <w:spacing w:val="-4"/>
        </w:rPr>
        <w:t> </w:t>
      </w:r>
      <w:r>
        <w:rPr>
          <w:b w:val="0"/>
          <w:color w:val="9D534E"/>
          <w:spacing w:val="-3"/>
        </w:rPr>
        <w:t>RECEITAS</w:t>
      </w:r>
    </w:p>
    <w:p>
      <w:pPr>
        <w:pStyle w:val="BodyText"/>
        <w:spacing w:before="1"/>
        <w:rPr>
          <w:rFonts w:ascii="Roboto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899998</wp:posOffset>
            </wp:positionH>
            <wp:positionV relativeFrom="paragraph">
              <wp:posOffset>167947</wp:posOffset>
            </wp:positionV>
            <wp:extent cx="5772848" cy="2218944"/>
            <wp:effectExtent l="0" t="0" r="0" b="0"/>
            <wp:wrapTopAndBottom/>
            <wp:docPr id="5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84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Roboto"/>
          <w:b w:val="0"/>
          <w:sz w:val="24"/>
        </w:rPr>
      </w:pPr>
    </w:p>
    <w:p>
      <w:pPr>
        <w:pStyle w:val="ListParagraph"/>
        <w:numPr>
          <w:ilvl w:val="1"/>
          <w:numId w:val="9"/>
        </w:numPr>
        <w:tabs>
          <w:tab w:pos="685" w:val="left" w:leader="none"/>
        </w:tabs>
        <w:spacing w:line="240" w:lineRule="auto" w:before="0" w:after="0"/>
        <w:ind w:left="684" w:right="0" w:hanging="548"/>
        <w:jc w:val="left"/>
        <w:rPr>
          <w:b w:val="0"/>
          <w:sz w:val="22"/>
        </w:rPr>
      </w:pPr>
      <w:r>
        <w:rPr>
          <w:b w:val="0"/>
          <w:sz w:val="22"/>
        </w:rPr>
        <w:t>Outras Reversões de</w:t>
      </w:r>
      <w:r>
        <w:rPr>
          <w:b w:val="0"/>
          <w:spacing w:val="-4"/>
          <w:sz w:val="22"/>
        </w:rPr>
        <w:t> </w:t>
      </w:r>
      <w:r>
        <w:rPr>
          <w:b w:val="0"/>
          <w:sz w:val="22"/>
        </w:rPr>
        <w:t>Provisões</w:t>
      </w:r>
    </w:p>
    <w:p>
      <w:pPr>
        <w:pStyle w:val="BodyText"/>
        <w:spacing w:line="247" w:lineRule="auto" w:before="171"/>
        <w:ind w:left="137" w:right="114" w:firstLine="226"/>
        <w:jc w:val="both"/>
      </w:pPr>
      <w:r>
        <w:rPr/>
        <w:t>Nesta</w:t>
      </w:r>
      <w:r>
        <w:rPr>
          <w:spacing w:val="-26"/>
        </w:rPr>
        <w:t> </w:t>
      </w:r>
      <w:r>
        <w:rPr/>
        <w:t>conta</w:t>
      </w:r>
      <w:r>
        <w:rPr>
          <w:spacing w:val="-26"/>
        </w:rPr>
        <w:t> </w:t>
      </w:r>
      <w:r>
        <w:rPr/>
        <w:t>foi</w:t>
      </w:r>
      <w:r>
        <w:rPr>
          <w:spacing w:val="-26"/>
        </w:rPr>
        <w:t> </w:t>
      </w:r>
      <w:r>
        <w:rPr/>
        <w:t>contabilizada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reversão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/>
        <w:t>provisão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perda</w:t>
      </w:r>
      <w:r>
        <w:rPr>
          <w:spacing w:val="-26"/>
        </w:rPr>
        <w:t> </w:t>
      </w:r>
      <w:r>
        <w:rPr/>
        <w:t>dos</w:t>
      </w:r>
      <w:r>
        <w:rPr>
          <w:spacing w:val="-26"/>
        </w:rPr>
        <w:t> </w:t>
      </w:r>
      <w:r>
        <w:rPr/>
        <w:t>medicamentos</w:t>
      </w:r>
      <w:r>
        <w:rPr>
          <w:spacing w:val="-26"/>
        </w:rPr>
        <w:t> </w:t>
      </w:r>
      <w:r>
        <w:rPr/>
        <w:t>Hemoderivados </w:t>
      </w:r>
      <w:r>
        <w:rPr>
          <w:spacing w:val="-2"/>
        </w:rPr>
        <w:t>realizada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>
          <w:spacing w:val="-3"/>
        </w:rPr>
        <w:t>exercício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2018,</w:t>
      </w:r>
      <w:r>
        <w:rPr>
          <w:spacing w:val="-21"/>
        </w:rPr>
        <w:t> </w:t>
      </w:r>
      <w:r>
        <w:rPr/>
        <w:t>devido</w:t>
      </w:r>
      <w:r>
        <w:rPr>
          <w:spacing w:val="-22"/>
        </w:rPr>
        <w:t> </w:t>
      </w:r>
      <w:r>
        <w:rPr/>
        <w:t>ao</w:t>
      </w:r>
      <w:r>
        <w:rPr>
          <w:spacing w:val="-22"/>
        </w:rPr>
        <w:t> </w:t>
      </w:r>
      <w:r>
        <w:rPr>
          <w:spacing w:val="-3"/>
        </w:rPr>
        <w:t>registro</w:t>
      </w:r>
      <w:r>
        <w:rPr>
          <w:spacing w:val="-22"/>
        </w:rPr>
        <w:t> </w:t>
      </w:r>
      <w:r>
        <w:rPr>
          <w:spacing w:val="-3"/>
        </w:rPr>
        <w:t>efetivo</w:t>
      </w:r>
      <w:r>
        <w:rPr>
          <w:spacing w:val="-21"/>
        </w:rPr>
        <w:t> </w:t>
      </w:r>
      <w:r>
        <w:rPr/>
        <w:t>da</w:t>
      </w:r>
      <w:r>
        <w:rPr>
          <w:spacing w:val="-22"/>
        </w:rPr>
        <w:t> </w:t>
      </w:r>
      <w:r>
        <w:rPr/>
        <w:t>perda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baixa</w:t>
      </w:r>
      <w:r>
        <w:rPr>
          <w:spacing w:val="-21"/>
        </w:rPr>
        <w:t> </w:t>
      </w:r>
      <w:r>
        <w:rPr/>
        <w:t>dos</w:t>
      </w:r>
      <w:r>
        <w:rPr>
          <w:spacing w:val="-22"/>
        </w:rPr>
        <w:t> </w:t>
      </w:r>
      <w:r>
        <w:rPr/>
        <w:t>mesmos,</w:t>
      </w:r>
      <w:r>
        <w:rPr>
          <w:spacing w:val="-22"/>
        </w:rPr>
        <w:t> </w:t>
      </w:r>
      <w:r>
        <w:rPr>
          <w:spacing w:val="-3"/>
        </w:rPr>
        <w:t>totalizando </w:t>
      </w:r>
      <w:r>
        <w:rPr/>
        <w:t>R$ 12.348.564.</w:t>
      </w:r>
    </w:p>
    <w:p>
      <w:pPr>
        <w:spacing w:after="0" w:line="247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1"/>
          <w:numId w:val="9"/>
        </w:numPr>
        <w:tabs>
          <w:tab w:pos="691" w:val="left" w:leader="none"/>
        </w:tabs>
        <w:spacing w:line="240" w:lineRule="auto" w:before="63" w:after="0"/>
        <w:ind w:left="690" w:right="0" w:hanging="554"/>
        <w:jc w:val="left"/>
        <w:rPr>
          <w:b w:val="0"/>
        </w:rPr>
      </w:pPr>
      <w:r>
        <w:rPr>
          <w:b w:val="0"/>
        </w:rPr>
        <w:t>Receitas de Multas</w:t>
      </w:r>
      <w:r>
        <w:rPr>
          <w:b w:val="0"/>
          <w:spacing w:val="-4"/>
        </w:rPr>
        <w:t> </w:t>
      </w:r>
      <w:r>
        <w:rPr>
          <w:b w:val="0"/>
        </w:rPr>
        <w:t>Contratuais</w:t>
      </w:r>
    </w:p>
    <w:p>
      <w:pPr>
        <w:pStyle w:val="BodyText"/>
        <w:spacing w:line="247" w:lineRule="auto" w:before="171"/>
        <w:ind w:left="137" w:right="118" w:firstLine="226"/>
        <w:jc w:val="both"/>
      </w:pPr>
      <w:r>
        <w:rPr/>
        <w:t>A</w:t>
      </w:r>
      <w:r>
        <w:rPr>
          <w:spacing w:val="-28"/>
        </w:rPr>
        <w:t> </w:t>
      </w:r>
      <w:r>
        <w:rPr/>
        <w:t>conta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Receitas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Multas</w:t>
      </w:r>
      <w:r>
        <w:rPr>
          <w:spacing w:val="-28"/>
        </w:rPr>
        <w:t> </w:t>
      </w:r>
      <w:r>
        <w:rPr>
          <w:spacing w:val="-3"/>
        </w:rPr>
        <w:t>contratuais</w:t>
      </w:r>
      <w:r>
        <w:rPr>
          <w:spacing w:val="-28"/>
        </w:rPr>
        <w:t> </w:t>
      </w:r>
      <w:r>
        <w:rPr/>
        <w:t>corresponde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/>
        <w:t>aplicações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penalidade</w:t>
      </w:r>
      <w:r>
        <w:rPr>
          <w:spacing w:val="-27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fornecedores, </w:t>
      </w:r>
      <w:r>
        <w:rPr/>
        <w:t>totalizando o montante de R$</w:t>
      </w:r>
      <w:r>
        <w:rPr>
          <w:spacing w:val="-4"/>
        </w:rPr>
        <w:t> </w:t>
      </w:r>
      <w:r>
        <w:rPr/>
        <w:t>626.729.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9"/>
        </w:numPr>
        <w:tabs>
          <w:tab w:pos="682" w:val="left" w:leader="none"/>
        </w:tabs>
        <w:spacing w:line="240" w:lineRule="auto" w:before="0" w:after="0"/>
        <w:ind w:left="681" w:right="0" w:hanging="545"/>
        <w:jc w:val="left"/>
        <w:rPr>
          <w:b w:val="0"/>
        </w:rPr>
      </w:pPr>
      <w:r>
        <w:rPr>
          <w:b w:val="0"/>
        </w:rPr>
        <w:t>Recebimento de</w:t>
      </w:r>
      <w:r>
        <w:rPr>
          <w:b w:val="0"/>
          <w:spacing w:val="-3"/>
        </w:rPr>
        <w:t> </w:t>
      </w:r>
      <w:r>
        <w:rPr>
          <w:b w:val="0"/>
        </w:rPr>
        <w:t>Cedidos</w:t>
      </w:r>
    </w:p>
    <w:p>
      <w:pPr>
        <w:pStyle w:val="BodyText"/>
        <w:spacing w:line="247" w:lineRule="auto" w:before="171"/>
        <w:ind w:left="137" w:right="116" w:firstLine="226"/>
        <w:jc w:val="both"/>
      </w:pPr>
      <w:r>
        <w:rPr/>
        <w:t>Na</w:t>
      </w:r>
      <w:r>
        <w:rPr>
          <w:spacing w:val="-23"/>
        </w:rPr>
        <w:t> </w:t>
      </w:r>
      <w:r>
        <w:rPr/>
        <w:t>conta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Recebimento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/>
        <w:t>Cedidos</w:t>
      </w:r>
      <w:r>
        <w:rPr>
          <w:spacing w:val="-22"/>
        </w:rPr>
        <w:t> </w:t>
      </w:r>
      <w:r>
        <w:rPr/>
        <w:t>estão</w:t>
      </w:r>
      <w:r>
        <w:rPr>
          <w:spacing w:val="-22"/>
        </w:rPr>
        <w:t> </w:t>
      </w:r>
      <w:r>
        <w:rPr/>
        <w:t>registrados</w:t>
      </w:r>
      <w:r>
        <w:rPr>
          <w:spacing w:val="-23"/>
        </w:rPr>
        <w:t> </w:t>
      </w:r>
      <w:r>
        <w:rPr/>
        <w:t>os</w:t>
      </w:r>
      <w:r>
        <w:rPr>
          <w:spacing w:val="-22"/>
        </w:rPr>
        <w:t> </w:t>
      </w:r>
      <w:r>
        <w:rPr/>
        <w:t>valores</w:t>
      </w:r>
      <w:r>
        <w:rPr>
          <w:spacing w:val="-23"/>
        </w:rPr>
        <w:t> </w:t>
      </w:r>
      <w:r>
        <w:rPr/>
        <w:t>recebidos</w:t>
      </w:r>
      <w:r>
        <w:rPr>
          <w:spacing w:val="-22"/>
        </w:rPr>
        <w:t> </w:t>
      </w:r>
      <w:r>
        <w:rPr/>
        <w:t>dos</w:t>
      </w:r>
      <w:r>
        <w:rPr>
          <w:spacing w:val="-22"/>
        </w:rPr>
        <w:t> </w:t>
      </w:r>
      <w:r>
        <w:rPr/>
        <w:t>órgãos</w:t>
      </w:r>
      <w:r>
        <w:rPr>
          <w:spacing w:val="-23"/>
        </w:rPr>
        <w:t> </w:t>
      </w:r>
      <w:r>
        <w:rPr/>
        <w:t>públicos para os quais houve cessão de empregados, no total de R$</w:t>
      </w:r>
      <w:r>
        <w:rPr>
          <w:spacing w:val="-9"/>
        </w:rPr>
        <w:t> </w:t>
      </w:r>
      <w:r>
        <w:rPr/>
        <w:t>383.434.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167" w:after="0"/>
        <w:ind w:left="616" w:right="0" w:hanging="480"/>
        <w:jc w:val="left"/>
        <w:rPr>
          <w:b w:val="0"/>
        </w:rPr>
      </w:pPr>
      <w:r>
        <w:rPr>
          <w:b w:val="0"/>
          <w:color w:val="9D534E"/>
          <w:spacing w:val="-5"/>
        </w:rPr>
        <w:t>RESULTADO </w:t>
      </w:r>
      <w:r>
        <w:rPr>
          <w:b w:val="0"/>
          <w:color w:val="9D534E"/>
        </w:rPr>
        <w:t>FINANCEIRO –</w:t>
      </w:r>
      <w:r>
        <w:rPr>
          <w:b w:val="0"/>
          <w:color w:val="9D534E"/>
          <w:spacing w:val="1"/>
        </w:rPr>
        <w:t> </w:t>
      </w:r>
      <w:r>
        <w:rPr>
          <w:b w:val="0"/>
          <w:color w:val="9D534E"/>
        </w:rPr>
        <w:t>LÍQUIDO</w:t>
      </w:r>
    </w:p>
    <w:p>
      <w:pPr>
        <w:pStyle w:val="BodyText"/>
        <w:spacing w:before="8"/>
        <w:rPr>
          <w:rFonts w:ascii="Roboto"/>
          <w:b w:val="0"/>
        </w:rPr>
      </w:pPr>
    </w:p>
    <w:p>
      <w:pPr>
        <w:pStyle w:val="BodyText"/>
        <w:spacing w:line="247" w:lineRule="auto"/>
        <w:ind w:left="137" w:right="113" w:firstLine="226"/>
        <w:jc w:val="both"/>
      </w:pPr>
      <w:r>
        <w:rPr/>
        <w:t>Em</w:t>
      </w:r>
      <w:r>
        <w:rPr>
          <w:spacing w:val="-16"/>
        </w:rPr>
        <w:t> </w:t>
      </w:r>
      <w:r>
        <w:rPr/>
        <w:t>2019,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saldo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Resultado</w:t>
      </w:r>
      <w:r>
        <w:rPr>
          <w:spacing w:val="-15"/>
        </w:rPr>
        <w:t> </w:t>
      </w:r>
      <w:r>
        <w:rPr/>
        <w:t>Financeiro</w:t>
      </w:r>
      <w:r>
        <w:rPr>
          <w:spacing w:val="-15"/>
        </w:rPr>
        <w:t> </w:t>
      </w:r>
      <w:r>
        <w:rPr/>
        <w:t>Líquido</w:t>
      </w:r>
      <w:r>
        <w:rPr>
          <w:spacing w:val="-15"/>
        </w:rPr>
        <w:t> </w:t>
      </w:r>
      <w:r>
        <w:rPr/>
        <w:t>perfez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valor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R$</w:t>
      </w:r>
      <w:r>
        <w:rPr>
          <w:spacing w:val="-16"/>
        </w:rPr>
        <w:t> </w:t>
      </w:r>
      <w:r>
        <w:rPr/>
        <w:t>26.657.696.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rendimento de</w:t>
      </w:r>
      <w:r>
        <w:rPr>
          <w:spacing w:val="-31"/>
        </w:rPr>
        <w:t> </w:t>
      </w:r>
      <w:r>
        <w:rPr/>
        <w:t>aplicações</w:t>
      </w:r>
      <w:r>
        <w:rPr>
          <w:spacing w:val="-31"/>
        </w:rPr>
        <w:t> </w:t>
      </w:r>
      <w:r>
        <w:rPr/>
        <w:t>financeiras</w:t>
      </w:r>
      <w:r>
        <w:rPr>
          <w:spacing w:val="-30"/>
        </w:rPr>
        <w:t> </w:t>
      </w:r>
      <w:r>
        <w:rPr>
          <w:spacing w:val="-3"/>
        </w:rPr>
        <w:t>totalizou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montante</w:t>
      </w:r>
      <w:r>
        <w:rPr>
          <w:spacing w:val="-31"/>
        </w:rPr>
        <w:t> </w:t>
      </w:r>
      <w:r>
        <w:rPr/>
        <w:t>R$</w:t>
      </w:r>
      <w:r>
        <w:rPr>
          <w:spacing w:val="-31"/>
        </w:rPr>
        <w:t> </w:t>
      </w:r>
      <w:r>
        <w:rPr/>
        <w:t>44.097.640,</w:t>
      </w:r>
      <w:r>
        <w:rPr>
          <w:spacing w:val="-30"/>
        </w:rPr>
        <w:t> </w:t>
      </w:r>
      <w:r>
        <w:rPr/>
        <w:t>o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colaborou</w:t>
      </w:r>
      <w:r>
        <w:rPr>
          <w:spacing w:val="-31"/>
        </w:rPr>
        <w:t> </w:t>
      </w:r>
      <w:r>
        <w:rPr>
          <w:spacing w:val="-3"/>
        </w:rPr>
        <w:t>para</w:t>
      </w:r>
      <w:r>
        <w:rPr>
          <w:spacing w:val="-31"/>
        </w:rPr>
        <w:t> </w:t>
      </w:r>
      <w:r>
        <w:rPr/>
        <w:t>que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/>
        <w:t>Companhia tivesse um resultado financeiro positivo, mesmo com o saldo negativo da variação cambial de  R$ 21.320.301.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899998</wp:posOffset>
            </wp:positionH>
            <wp:positionV relativeFrom="paragraph">
              <wp:posOffset>110664</wp:posOffset>
            </wp:positionV>
            <wp:extent cx="5774011" cy="1292352"/>
            <wp:effectExtent l="0" t="0" r="0" b="0"/>
            <wp:wrapTopAndBottom/>
            <wp:docPr id="5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011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74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TRIBUTOS SOBRE O</w:t>
      </w:r>
      <w:r>
        <w:rPr>
          <w:b w:val="0"/>
          <w:color w:val="9D534E"/>
          <w:spacing w:val="-4"/>
        </w:rPr>
        <w:t> </w:t>
      </w:r>
      <w:r>
        <w:rPr>
          <w:b w:val="0"/>
          <w:color w:val="9D534E"/>
        </w:rPr>
        <w:t>LUCRO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/>
        <w:ind w:left="137" w:right="111" w:firstLine="226"/>
        <w:jc w:val="both"/>
      </w:pPr>
      <w:r>
        <w:rPr/>
        <w:t>O Resultado Operacional Antes do Imposto sobre o Lucro foi de R$ 185.527.552. O total de despesas</w:t>
      </w:r>
      <w:r>
        <w:rPr>
          <w:spacing w:val="-12"/>
        </w:rPr>
        <w:t> </w:t>
      </w:r>
      <w:r>
        <w:rPr/>
        <w:t>com</w:t>
      </w:r>
      <w:r>
        <w:rPr>
          <w:spacing w:val="-11"/>
        </w:rPr>
        <w:t> </w:t>
      </w:r>
      <w:r>
        <w:rPr/>
        <w:t>impostos</w:t>
      </w:r>
      <w:r>
        <w:rPr>
          <w:spacing w:val="-12"/>
        </w:rPr>
        <w:t> </w:t>
      </w:r>
      <w:r>
        <w:rPr/>
        <w:t>sobre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resultado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exercício</w:t>
      </w:r>
      <w:r>
        <w:rPr>
          <w:spacing w:val="-12"/>
        </w:rPr>
        <w:t> </w:t>
      </w:r>
      <w:r>
        <w:rPr/>
        <w:t>foi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R$</w:t>
      </w:r>
      <w:r>
        <w:rPr>
          <w:spacing w:val="-11"/>
        </w:rPr>
        <w:t> </w:t>
      </w:r>
      <w:r>
        <w:rPr/>
        <w:t>41.610.709,</w:t>
      </w:r>
      <w:r>
        <w:rPr>
          <w:spacing w:val="-12"/>
        </w:rPr>
        <w:t> </w:t>
      </w:r>
      <w:r>
        <w:rPr/>
        <w:t>sendo</w:t>
      </w:r>
      <w:r>
        <w:rPr>
          <w:spacing w:val="-11"/>
        </w:rPr>
        <w:t> </w:t>
      </w:r>
      <w:r>
        <w:rPr/>
        <w:t>R$</w:t>
      </w:r>
      <w:r>
        <w:rPr>
          <w:spacing w:val="-11"/>
        </w:rPr>
        <w:t> </w:t>
      </w:r>
      <w:r>
        <w:rPr/>
        <w:t>32.653.757 de </w:t>
      </w:r>
      <w:r>
        <w:rPr>
          <w:spacing w:val="-6"/>
        </w:rPr>
        <w:t>IRPJ </w:t>
      </w:r>
      <w:r>
        <w:rPr/>
        <w:t>e R$ 8.956.852 de CSLL. No exercício a Hemobrás utilizou o limite legal de 30% referente ao prejuízo fiscal acumulado de exercícios</w:t>
      </w:r>
      <w:r>
        <w:rPr>
          <w:spacing w:val="-4"/>
        </w:rPr>
        <w:t> </w:t>
      </w:r>
      <w:r>
        <w:rPr/>
        <w:t>anteriores.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169" w:after="0"/>
        <w:ind w:left="616" w:right="0" w:hanging="480"/>
        <w:jc w:val="left"/>
        <w:rPr>
          <w:b w:val="0"/>
        </w:rPr>
      </w:pPr>
      <w:r>
        <w:rPr>
          <w:b w:val="0"/>
          <w:color w:val="9D534E"/>
          <w:spacing w:val="-5"/>
        </w:rPr>
        <w:t>RESULTADO </w:t>
      </w:r>
      <w:r>
        <w:rPr>
          <w:b w:val="0"/>
          <w:color w:val="9D534E"/>
        </w:rPr>
        <w:t>LÍQUIDO DO</w:t>
      </w:r>
      <w:r>
        <w:rPr>
          <w:b w:val="0"/>
          <w:color w:val="9D534E"/>
          <w:spacing w:val="2"/>
        </w:rPr>
        <w:t> </w:t>
      </w:r>
      <w:r>
        <w:rPr>
          <w:b w:val="0"/>
          <w:color w:val="9D534E"/>
        </w:rPr>
        <w:t>EXERCÍCIO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/>
        <w:ind w:left="137" w:right="110" w:firstLine="226"/>
        <w:jc w:val="both"/>
      </w:pPr>
      <w:r>
        <w:rPr/>
        <w:t>Houve</w:t>
      </w:r>
      <w:r>
        <w:rPr>
          <w:spacing w:val="-26"/>
        </w:rPr>
        <w:t> </w:t>
      </w:r>
      <w:r>
        <w:rPr/>
        <w:t>aumento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/>
        <w:t>Receita</w:t>
      </w:r>
      <w:r>
        <w:rPr>
          <w:spacing w:val="-25"/>
        </w:rPr>
        <w:t> </w:t>
      </w:r>
      <w:r>
        <w:rPr>
          <w:spacing w:val="-3"/>
        </w:rPr>
        <w:t>Operacional</w:t>
      </w:r>
      <w:r>
        <w:rPr>
          <w:spacing w:val="-25"/>
        </w:rPr>
        <w:t> </w:t>
      </w:r>
      <w:r>
        <w:rPr/>
        <w:t>Bruta</w:t>
      </w:r>
      <w:r>
        <w:rPr>
          <w:spacing w:val="-25"/>
        </w:rPr>
        <w:t> </w:t>
      </w:r>
      <w:r>
        <w:rPr/>
        <w:t>do</w:t>
      </w:r>
      <w:r>
        <w:rPr>
          <w:spacing w:val="-25"/>
        </w:rPr>
        <w:t> </w:t>
      </w:r>
      <w:r>
        <w:rPr/>
        <w:t>medicamento</w:t>
      </w:r>
      <w:r>
        <w:rPr>
          <w:spacing w:val="-26"/>
        </w:rPr>
        <w:t> </w:t>
      </w:r>
      <w:r>
        <w:rPr/>
        <w:t>fator</w:t>
      </w:r>
      <w:r>
        <w:rPr>
          <w:spacing w:val="-25"/>
        </w:rPr>
        <w:t> </w:t>
      </w:r>
      <w:r>
        <w:rPr/>
        <w:t>VIII</w:t>
      </w:r>
      <w:r>
        <w:rPr>
          <w:spacing w:val="-26"/>
        </w:rPr>
        <w:t> </w:t>
      </w:r>
      <w:r>
        <w:rPr/>
        <w:t>recombinante</w:t>
      </w:r>
      <w:r>
        <w:rPr>
          <w:spacing w:val="-25"/>
        </w:rPr>
        <w:t> </w:t>
      </w:r>
      <w:r>
        <w:rPr/>
        <w:t>(não</w:t>
      </w:r>
      <w:r>
        <w:rPr>
          <w:spacing w:val="-26"/>
        </w:rPr>
        <w:t> </w:t>
      </w:r>
      <w:r>
        <w:rPr/>
        <w:t>houve receita com medicamentos hemoderivados em 2019) e uma redução dos custos dos produtos vendidos,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passaram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73,28%</w:t>
      </w:r>
      <w:r>
        <w:rPr>
          <w:spacing w:val="-21"/>
        </w:rPr>
        <w:t> </w:t>
      </w:r>
      <w:r>
        <w:rPr/>
        <w:t>em</w:t>
      </w:r>
      <w:r>
        <w:rPr>
          <w:spacing w:val="-22"/>
        </w:rPr>
        <w:t> </w:t>
      </w:r>
      <w:r>
        <w:rPr/>
        <w:t>2018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67,80%</w:t>
      </w:r>
      <w:r>
        <w:rPr>
          <w:spacing w:val="-22"/>
        </w:rPr>
        <w:t> </w:t>
      </w:r>
      <w:r>
        <w:rPr/>
        <w:t>em</w:t>
      </w:r>
      <w:r>
        <w:rPr>
          <w:spacing w:val="-21"/>
        </w:rPr>
        <w:t> </w:t>
      </w:r>
      <w:r>
        <w:rPr/>
        <w:t>2019</w:t>
      </w:r>
      <w:r>
        <w:rPr>
          <w:spacing w:val="-21"/>
        </w:rPr>
        <w:t> </w:t>
      </w:r>
      <w:r>
        <w:rPr/>
        <w:t>em</w:t>
      </w:r>
      <w:r>
        <w:rPr>
          <w:spacing w:val="-22"/>
        </w:rPr>
        <w:t> </w:t>
      </w:r>
      <w:r>
        <w:rPr/>
        <w:t>relação</w:t>
      </w:r>
      <w:r>
        <w:rPr>
          <w:spacing w:val="-21"/>
        </w:rPr>
        <w:t> </w:t>
      </w:r>
      <w:r>
        <w:rPr/>
        <w:t>à</w:t>
      </w:r>
      <w:r>
        <w:rPr>
          <w:spacing w:val="-21"/>
        </w:rPr>
        <w:t> </w:t>
      </w:r>
      <w:r>
        <w:rPr/>
        <w:t>Receita</w:t>
      </w:r>
      <w:r>
        <w:rPr>
          <w:spacing w:val="-22"/>
        </w:rPr>
        <w:t> </w:t>
      </w:r>
      <w:r>
        <w:rPr/>
        <w:t>Operacional Bruta.</w:t>
      </w:r>
      <w:r>
        <w:rPr>
          <w:spacing w:val="-29"/>
        </w:rPr>
        <w:t> </w:t>
      </w:r>
      <w:r>
        <w:rPr>
          <w:spacing w:val="-3"/>
        </w:rPr>
        <w:t>Houve</w:t>
      </w:r>
      <w:r>
        <w:rPr>
          <w:spacing w:val="-29"/>
        </w:rPr>
        <w:t> </w:t>
      </w:r>
      <w:r>
        <w:rPr>
          <w:spacing w:val="-3"/>
        </w:rPr>
        <w:t>ainda</w:t>
      </w:r>
      <w:r>
        <w:rPr>
          <w:spacing w:val="-29"/>
        </w:rPr>
        <w:t> </w:t>
      </w:r>
      <w:r>
        <w:rPr/>
        <w:t>uma</w:t>
      </w:r>
      <w:r>
        <w:rPr>
          <w:spacing w:val="-28"/>
        </w:rPr>
        <w:t> </w:t>
      </w:r>
      <w:r>
        <w:rPr/>
        <w:t>redução</w:t>
      </w:r>
      <w:r>
        <w:rPr>
          <w:spacing w:val="-29"/>
        </w:rPr>
        <w:t> </w:t>
      </w:r>
      <w:r>
        <w:rPr/>
        <w:t>nas</w:t>
      </w:r>
      <w:r>
        <w:rPr>
          <w:spacing w:val="-29"/>
        </w:rPr>
        <w:t> </w:t>
      </w:r>
      <w:r>
        <w:rPr>
          <w:spacing w:val="-3"/>
        </w:rPr>
        <w:t>despesas</w:t>
      </w:r>
      <w:r>
        <w:rPr>
          <w:spacing w:val="-28"/>
        </w:rPr>
        <w:t> </w:t>
      </w:r>
      <w:r>
        <w:rPr>
          <w:spacing w:val="-4"/>
        </w:rPr>
        <w:t>operacionais</w:t>
      </w:r>
      <w:r>
        <w:rPr>
          <w:spacing w:val="-29"/>
        </w:rPr>
        <w:t> </w:t>
      </w:r>
      <w:r>
        <w:rPr>
          <w:spacing w:val="-4"/>
        </w:rPr>
        <w:t>administrativas</w:t>
      </w:r>
      <w:r>
        <w:rPr>
          <w:spacing w:val="-29"/>
        </w:rPr>
        <w:t> </w:t>
      </w:r>
      <w:r>
        <w:rPr/>
        <w:t>e</w:t>
      </w:r>
      <w:r>
        <w:rPr>
          <w:spacing w:val="-28"/>
        </w:rPr>
        <w:t> </w:t>
      </w:r>
      <w:r>
        <w:rPr/>
        <w:t>um</w:t>
      </w:r>
      <w:r>
        <w:rPr>
          <w:spacing w:val="-29"/>
        </w:rPr>
        <w:t> </w:t>
      </w:r>
      <w:r>
        <w:rPr>
          <w:spacing w:val="-2"/>
        </w:rPr>
        <w:t>resultado</w:t>
      </w:r>
      <w:r>
        <w:rPr>
          <w:spacing w:val="-29"/>
        </w:rPr>
        <w:t> </w:t>
      </w:r>
      <w:r>
        <w:rPr/>
        <w:t>financeiro positivo. O Resultado Líquido do Exercício foi de R$ 143,9</w:t>
      </w:r>
      <w:r>
        <w:rPr>
          <w:spacing w:val="-7"/>
        </w:rPr>
        <w:t> </w:t>
      </w:r>
      <w:r>
        <w:rPr/>
        <w:t>milhões.</w:t>
      </w:r>
    </w:p>
    <w:p>
      <w:pPr>
        <w:spacing w:after="0" w:line="247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63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COBERTURA DE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SEGUROS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 w:before="1"/>
        <w:ind w:left="137" w:right="114" w:firstLine="226"/>
        <w:jc w:val="both"/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899998</wp:posOffset>
            </wp:positionH>
            <wp:positionV relativeFrom="paragraph">
              <wp:posOffset>743115</wp:posOffset>
            </wp:positionV>
            <wp:extent cx="5778828" cy="1944624"/>
            <wp:effectExtent l="0" t="0" r="0" b="0"/>
            <wp:wrapTopAndBottom/>
            <wp:docPr id="6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828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Hemobrás</w:t>
      </w:r>
      <w:r>
        <w:rPr>
          <w:spacing w:val="-26"/>
        </w:rPr>
        <w:t> </w:t>
      </w:r>
      <w:r>
        <w:rPr/>
        <w:t>tem</w:t>
      </w:r>
      <w:r>
        <w:rPr>
          <w:spacing w:val="-24"/>
        </w:rPr>
        <w:t> </w:t>
      </w:r>
      <w:r>
        <w:rPr>
          <w:spacing w:val="-3"/>
        </w:rPr>
        <w:t>contratado</w:t>
      </w:r>
      <w:r>
        <w:rPr>
          <w:spacing w:val="-26"/>
        </w:rPr>
        <w:t> </w:t>
      </w:r>
      <w:r>
        <w:rPr/>
        <w:t>seguros</w:t>
      </w:r>
      <w:r>
        <w:rPr>
          <w:spacing w:val="-25"/>
        </w:rPr>
        <w:t> </w:t>
      </w:r>
      <w:r>
        <w:rPr/>
        <w:t>buscando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/>
        <w:t>proteção</w:t>
      </w:r>
      <w:r>
        <w:rPr>
          <w:spacing w:val="-26"/>
        </w:rPr>
        <w:t> </w:t>
      </w:r>
      <w:r>
        <w:rPr/>
        <w:t>do</w:t>
      </w:r>
      <w:r>
        <w:rPr>
          <w:spacing w:val="-25"/>
        </w:rPr>
        <w:t> </w:t>
      </w:r>
      <w:r>
        <w:rPr/>
        <w:t>seu</w:t>
      </w:r>
      <w:r>
        <w:rPr>
          <w:spacing w:val="-25"/>
        </w:rPr>
        <w:t> </w:t>
      </w:r>
      <w:r>
        <w:rPr/>
        <w:t>patrimônio,</w:t>
      </w:r>
      <w:r>
        <w:rPr>
          <w:spacing w:val="-26"/>
        </w:rPr>
        <w:t> </w:t>
      </w:r>
      <w:r>
        <w:rPr>
          <w:spacing w:val="-3"/>
        </w:rPr>
        <w:t>para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eventualidade </w:t>
      </w:r>
      <w:r>
        <w:rPr/>
        <w:t>de ocorrência de sinistros. Todas as apólices possuem vigência de 12 meses. As informações principais sobre a cobertura de seguros vigentes em 31 de dezembro de 2019 podem ser assim demonstradas:</w:t>
      </w:r>
    </w:p>
    <w:p>
      <w:pPr>
        <w:pStyle w:val="BodyText"/>
        <w:spacing w:before="10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0" w:after="0"/>
        <w:ind w:left="616" w:right="0" w:hanging="480"/>
        <w:jc w:val="left"/>
        <w:rPr>
          <w:b w:val="0"/>
        </w:rPr>
      </w:pPr>
      <w:r>
        <w:rPr>
          <w:b w:val="0"/>
          <w:color w:val="9D534E"/>
          <w:spacing w:val="-5"/>
        </w:rPr>
        <w:t>PARTES</w:t>
      </w:r>
      <w:r>
        <w:rPr>
          <w:b w:val="0"/>
          <w:color w:val="9D534E"/>
          <w:spacing w:val="-1"/>
        </w:rPr>
        <w:t> </w:t>
      </w:r>
      <w:r>
        <w:rPr>
          <w:b w:val="0"/>
          <w:color w:val="9D534E"/>
        </w:rPr>
        <w:t>RELACIONADAS</w:t>
      </w:r>
    </w:p>
    <w:p>
      <w:pPr>
        <w:pStyle w:val="BodyText"/>
        <w:spacing w:before="3"/>
        <w:rPr>
          <w:rFonts w:ascii="Roboto"/>
          <w:b w:val="0"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693" w:val="left" w:leader="none"/>
        </w:tabs>
        <w:spacing w:line="240" w:lineRule="auto" w:before="0" w:after="0"/>
        <w:ind w:left="692" w:right="0" w:hanging="556"/>
        <w:jc w:val="left"/>
        <w:rPr>
          <w:b w:val="0"/>
          <w:sz w:val="22"/>
        </w:rPr>
      </w:pPr>
      <w:r>
        <w:rPr>
          <w:b w:val="0"/>
          <w:color w:val="7C7B7B"/>
          <w:sz w:val="22"/>
        </w:rPr>
        <w:t>Membros Chave da Administração da</w:t>
      </w:r>
      <w:r>
        <w:rPr>
          <w:b w:val="0"/>
          <w:color w:val="7C7B7B"/>
          <w:spacing w:val="-7"/>
          <w:sz w:val="22"/>
        </w:rPr>
        <w:t> </w:t>
      </w:r>
      <w:r>
        <w:rPr>
          <w:b w:val="0"/>
          <w:color w:val="7C7B7B"/>
          <w:sz w:val="22"/>
        </w:rPr>
        <w:t>Companhia</w:t>
      </w:r>
    </w:p>
    <w:p>
      <w:pPr>
        <w:pStyle w:val="BodyText"/>
        <w:spacing w:line="247" w:lineRule="auto" w:before="171"/>
        <w:ind w:left="137" w:right="112" w:firstLine="226"/>
        <w:jc w:val="both"/>
      </w:pPr>
      <w:r>
        <w:rPr/>
        <w:t>Conforme</w:t>
      </w:r>
      <w:r>
        <w:rPr>
          <w:spacing w:val="-26"/>
        </w:rPr>
        <w:t> </w:t>
      </w:r>
      <w:r>
        <w:rPr/>
        <w:t>determinado</w:t>
      </w:r>
      <w:r>
        <w:rPr>
          <w:spacing w:val="-26"/>
        </w:rPr>
        <w:t> </w:t>
      </w:r>
      <w:r>
        <w:rPr/>
        <w:t>na</w:t>
      </w:r>
      <w:r>
        <w:rPr>
          <w:spacing w:val="-25"/>
        </w:rPr>
        <w:t> </w:t>
      </w:r>
      <w:r>
        <w:rPr/>
        <w:t>alínea</w:t>
      </w:r>
      <w:r>
        <w:rPr>
          <w:spacing w:val="-26"/>
        </w:rPr>
        <w:t> </w:t>
      </w:r>
      <w:r>
        <w:rPr>
          <w:spacing w:val="-4"/>
        </w:rPr>
        <w:t>“e”</w:t>
      </w:r>
      <w:r>
        <w:rPr>
          <w:spacing w:val="-25"/>
        </w:rPr>
        <w:t> </w:t>
      </w:r>
      <w:r>
        <w:rPr/>
        <w:t>do</w:t>
      </w:r>
      <w:r>
        <w:rPr>
          <w:spacing w:val="-26"/>
        </w:rPr>
        <w:t> </w:t>
      </w:r>
      <w:r>
        <w:rPr/>
        <w:t>art.</w:t>
      </w:r>
      <w:r>
        <w:rPr>
          <w:spacing w:val="-25"/>
        </w:rPr>
        <w:t> </w:t>
      </w:r>
      <w:r>
        <w:rPr/>
        <w:t>1º</w:t>
      </w:r>
      <w:r>
        <w:rPr>
          <w:spacing w:val="-26"/>
        </w:rPr>
        <w:t> </w:t>
      </w:r>
      <w:r>
        <w:rPr/>
        <w:t>da</w:t>
      </w:r>
      <w:r>
        <w:rPr>
          <w:spacing w:val="-26"/>
        </w:rPr>
        <w:t> </w:t>
      </w:r>
      <w:r>
        <w:rPr/>
        <w:t>Resolução</w:t>
      </w:r>
      <w:r>
        <w:rPr>
          <w:spacing w:val="-25"/>
        </w:rPr>
        <w:t> </w:t>
      </w:r>
      <w:r>
        <w:rPr>
          <w:spacing w:val="-4"/>
        </w:rPr>
        <w:t>CGPAR/MP</w:t>
      </w:r>
      <w:r>
        <w:rPr>
          <w:spacing w:val="-26"/>
        </w:rPr>
        <w:t> </w:t>
      </w:r>
      <w:r>
        <w:rPr/>
        <w:t>nº</w:t>
      </w:r>
      <w:r>
        <w:rPr>
          <w:spacing w:val="-25"/>
        </w:rPr>
        <w:t> </w:t>
      </w:r>
      <w:r>
        <w:rPr/>
        <w:t>3,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31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dezembro</w:t>
      </w:r>
      <w:r>
        <w:rPr>
          <w:spacing w:val="-25"/>
        </w:rPr>
        <w:t> </w:t>
      </w:r>
      <w:r>
        <w:rPr/>
        <w:t>de 2010,</w:t>
      </w:r>
      <w:r>
        <w:rPr>
          <w:spacing w:val="-25"/>
        </w:rPr>
        <w:t> </w:t>
      </w:r>
      <w:r>
        <w:rPr/>
        <w:t>informamos</w:t>
      </w:r>
      <w:r>
        <w:rPr>
          <w:spacing w:val="-24"/>
        </w:rPr>
        <w:t> </w:t>
      </w:r>
      <w:r>
        <w:rPr/>
        <w:t>que,</w:t>
      </w:r>
      <w:r>
        <w:rPr>
          <w:spacing w:val="-25"/>
        </w:rPr>
        <w:t> </w:t>
      </w:r>
      <w:r>
        <w:rPr/>
        <w:t>na</w:t>
      </w:r>
      <w:r>
        <w:rPr>
          <w:spacing w:val="-24"/>
        </w:rPr>
        <w:t> </w:t>
      </w:r>
      <w:r>
        <w:rPr/>
        <w:t>data</w:t>
      </w:r>
      <w:r>
        <w:rPr>
          <w:spacing w:val="-25"/>
        </w:rPr>
        <w:t> </w:t>
      </w:r>
      <w:r>
        <w:rPr/>
        <w:t>da</w:t>
      </w:r>
      <w:r>
        <w:rPr>
          <w:spacing w:val="-24"/>
        </w:rPr>
        <w:t> </w:t>
      </w:r>
      <w:r>
        <w:rPr/>
        <w:t>elaboração</w:t>
      </w:r>
      <w:r>
        <w:rPr>
          <w:spacing w:val="-25"/>
        </w:rPr>
        <w:t> </w:t>
      </w:r>
      <w:r>
        <w:rPr/>
        <w:t>destas</w:t>
      </w:r>
      <w:r>
        <w:rPr>
          <w:spacing w:val="-24"/>
        </w:rPr>
        <w:t> </w:t>
      </w:r>
      <w:r>
        <w:rPr/>
        <w:t>demonstrações,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maior</w:t>
      </w:r>
      <w:r>
        <w:rPr>
          <w:spacing w:val="-25"/>
        </w:rPr>
        <w:t> </w:t>
      </w:r>
      <w:r>
        <w:rPr/>
        <w:t>remuneração</w:t>
      </w:r>
      <w:r>
        <w:rPr>
          <w:spacing w:val="-24"/>
        </w:rPr>
        <w:t> </w:t>
      </w:r>
      <w:r>
        <w:rPr/>
        <w:t>para</w:t>
      </w:r>
      <w:r>
        <w:rPr>
          <w:spacing w:val="-25"/>
        </w:rPr>
        <w:t> </w:t>
      </w:r>
      <w:r>
        <w:rPr/>
        <w:t>um dirigente</w:t>
      </w:r>
      <w:r>
        <w:rPr>
          <w:spacing w:val="-19"/>
        </w:rPr>
        <w:t> </w:t>
      </w:r>
      <w:r>
        <w:rPr/>
        <w:t>foi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R$</w:t>
      </w:r>
      <w:r>
        <w:rPr>
          <w:spacing w:val="-19"/>
        </w:rPr>
        <w:t> </w:t>
      </w:r>
      <w:r>
        <w:rPr/>
        <w:t>34.494,82,</w:t>
      </w:r>
      <w:r>
        <w:rPr>
          <w:spacing w:val="-19"/>
        </w:rPr>
        <w:t> </w:t>
      </w:r>
      <w:r>
        <w:rPr/>
        <w:t>e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menor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R$</w:t>
      </w:r>
      <w:r>
        <w:rPr>
          <w:spacing w:val="-19"/>
        </w:rPr>
        <w:t> </w:t>
      </w:r>
      <w:r>
        <w:rPr/>
        <w:t>29.972,24,</w:t>
      </w:r>
      <w:r>
        <w:rPr>
          <w:spacing w:val="-18"/>
        </w:rPr>
        <w:t> </w:t>
      </w:r>
      <w:r>
        <w:rPr/>
        <w:t>nelas</w:t>
      </w:r>
      <w:r>
        <w:rPr>
          <w:spacing w:val="-19"/>
        </w:rPr>
        <w:t> </w:t>
      </w:r>
      <w:r>
        <w:rPr/>
        <w:t>computadas</w:t>
      </w:r>
      <w:r>
        <w:rPr>
          <w:spacing w:val="-19"/>
        </w:rPr>
        <w:t> </w:t>
      </w:r>
      <w:r>
        <w:rPr/>
        <w:t>vantagens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benefícios. Para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empregados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maior</w:t>
      </w:r>
      <w:r>
        <w:rPr>
          <w:spacing w:val="-8"/>
        </w:rPr>
        <w:t> </w:t>
      </w:r>
      <w:r>
        <w:rPr/>
        <w:t>remuneração</w:t>
      </w:r>
      <w:r>
        <w:rPr>
          <w:spacing w:val="-7"/>
        </w:rPr>
        <w:t> </w:t>
      </w:r>
      <w:r>
        <w:rPr/>
        <w:t>foi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R$</w:t>
      </w:r>
      <w:r>
        <w:rPr>
          <w:spacing w:val="-8"/>
        </w:rPr>
        <w:t> </w:t>
      </w:r>
      <w:r>
        <w:rPr/>
        <w:t>26.086,97,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menor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R$</w:t>
      </w:r>
      <w:r>
        <w:rPr>
          <w:spacing w:val="-8"/>
        </w:rPr>
        <w:t> </w:t>
      </w:r>
      <w:r>
        <w:rPr/>
        <w:t>3.419,80,</w:t>
      </w:r>
      <w:r>
        <w:rPr>
          <w:spacing w:val="-7"/>
        </w:rPr>
        <w:t> </w:t>
      </w:r>
      <w:r>
        <w:rPr/>
        <w:t>também computadas as vantagens e os benefícios. A remuneração média no período foi de R$ 31.509, 21 para os dirigentes e de R$ 11.043,14 para os</w:t>
      </w:r>
      <w:r>
        <w:rPr>
          <w:spacing w:val="-4"/>
        </w:rPr>
        <w:t> </w:t>
      </w:r>
      <w:r>
        <w:rPr/>
        <w:t>empregados.</w:t>
      </w:r>
    </w:p>
    <w:p>
      <w:pPr>
        <w:pStyle w:val="BodyText"/>
        <w:spacing w:line="247" w:lineRule="auto" w:before="144"/>
        <w:ind w:left="137" w:right="113" w:firstLine="226"/>
        <w:jc w:val="both"/>
      </w:pPr>
      <w:r>
        <w:rPr/>
        <w:t>Atualmente, a maioria dos membros dos Conselhos de Administração e Fiscal e da Diretoria Executiva são partes relacionadas da Hemobrás. O Comitê de Auditoria estatutário é constituído em sua totalidade por membros independentes. A remuneração dos membros dos Conselhos e do Comitê de Auditoria é de um décimo do que, em média, percebem mensalmente os dirigentes.</w:t>
      </w:r>
    </w:p>
    <w:p>
      <w:pPr>
        <w:pStyle w:val="BodyText"/>
        <w:spacing w:line="247" w:lineRule="auto" w:before="143"/>
        <w:ind w:left="137" w:right="113" w:firstLine="226"/>
        <w:jc w:val="both"/>
      </w:pPr>
      <w:r>
        <w:rPr/>
        <w:t>A Companhia não concede benefícios pós-emprego, de rescisão de contrato de trabalho ou quaisquer outros de longo prazo para a Administração e seus empregados.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693" w:val="left" w:leader="none"/>
        </w:tabs>
        <w:spacing w:line="355" w:lineRule="auto" w:before="0" w:after="0"/>
        <w:ind w:left="137" w:right="3679" w:firstLine="0"/>
        <w:jc w:val="left"/>
        <w:rPr>
          <w:b w:val="0"/>
        </w:rPr>
      </w:pPr>
      <w:r>
        <w:rPr>
          <w:b w:val="0"/>
          <w:color w:val="7C7B7B"/>
          <w:spacing w:val="-2"/>
        </w:rPr>
        <w:t>Transação </w:t>
      </w:r>
      <w:r>
        <w:rPr>
          <w:b w:val="0"/>
          <w:color w:val="7C7B7B"/>
        </w:rPr>
        <w:t>entre Partes Relacionadas – União</w:t>
      </w:r>
      <w:r>
        <w:rPr>
          <w:b w:val="0"/>
        </w:rPr>
        <w:t> Fornecimento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medicamentos</w:t>
      </w:r>
      <w:r>
        <w:rPr>
          <w:b w:val="0"/>
          <w:spacing w:val="-7"/>
        </w:rPr>
        <w:t> </w:t>
      </w:r>
      <w:r>
        <w:rPr>
          <w:b w:val="0"/>
        </w:rPr>
        <w:t>ao</w:t>
      </w:r>
      <w:r>
        <w:rPr>
          <w:b w:val="0"/>
          <w:spacing w:val="-8"/>
        </w:rPr>
        <w:t> </w:t>
      </w:r>
      <w:r>
        <w:rPr>
          <w:b w:val="0"/>
        </w:rPr>
        <w:t>Ministério</w:t>
      </w:r>
      <w:r>
        <w:rPr>
          <w:b w:val="0"/>
          <w:spacing w:val="-7"/>
        </w:rPr>
        <w:t> </w:t>
      </w:r>
      <w:r>
        <w:rPr>
          <w:b w:val="0"/>
        </w:rPr>
        <w:t>da</w:t>
      </w:r>
      <w:r>
        <w:rPr>
          <w:b w:val="0"/>
          <w:spacing w:val="-7"/>
        </w:rPr>
        <w:t> </w:t>
      </w:r>
      <w:r>
        <w:rPr>
          <w:b w:val="0"/>
        </w:rPr>
        <w:t>Saúde</w:t>
      </w:r>
    </w:p>
    <w:p>
      <w:pPr>
        <w:pStyle w:val="BodyText"/>
        <w:spacing w:line="247" w:lineRule="auto" w:before="32"/>
        <w:ind w:left="137" w:right="115" w:firstLine="226"/>
        <w:jc w:val="both"/>
      </w:pPr>
      <w:r>
        <w:rPr/>
        <w:t>A</w:t>
      </w:r>
      <w:r>
        <w:rPr>
          <w:spacing w:val="-26"/>
        </w:rPr>
        <w:t> </w:t>
      </w:r>
      <w:r>
        <w:rPr>
          <w:spacing w:val="-3"/>
        </w:rPr>
        <w:t>União</w:t>
      </w:r>
      <w:r>
        <w:rPr>
          <w:spacing w:val="-26"/>
        </w:rPr>
        <w:t> </w:t>
      </w:r>
      <w:r>
        <w:rPr>
          <w:spacing w:val="-3"/>
        </w:rPr>
        <w:t>detém</w:t>
      </w:r>
      <w:r>
        <w:rPr>
          <w:spacing w:val="-25"/>
        </w:rPr>
        <w:t> </w:t>
      </w:r>
      <w:r>
        <w:rPr>
          <w:spacing w:val="-3"/>
        </w:rPr>
        <w:t>100%</w:t>
      </w:r>
      <w:r>
        <w:rPr>
          <w:spacing w:val="-26"/>
        </w:rPr>
        <w:t> </w:t>
      </w:r>
      <w:r>
        <w:rPr/>
        <w:t>do</w:t>
      </w:r>
      <w:r>
        <w:rPr>
          <w:spacing w:val="-25"/>
        </w:rPr>
        <w:t> </w:t>
      </w:r>
      <w:r>
        <w:rPr>
          <w:spacing w:val="-3"/>
        </w:rPr>
        <w:t>capital</w:t>
      </w:r>
      <w:r>
        <w:rPr>
          <w:spacing w:val="-26"/>
        </w:rPr>
        <w:t> </w:t>
      </w:r>
      <w:r>
        <w:rPr>
          <w:spacing w:val="-3"/>
        </w:rPr>
        <w:t>social</w:t>
      </w:r>
      <w:r>
        <w:rPr>
          <w:spacing w:val="-25"/>
        </w:rPr>
        <w:t> </w:t>
      </w:r>
      <w:r>
        <w:rPr/>
        <w:t>da</w:t>
      </w:r>
      <w:r>
        <w:rPr>
          <w:spacing w:val="-26"/>
        </w:rPr>
        <w:t> </w:t>
      </w:r>
      <w:r>
        <w:rPr>
          <w:spacing w:val="-3"/>
        </w:rPr>
        <w:t>Companhia,</w:t>
      </w:r>
      <w:r>
        <w:rPr>
          <w:spacing w:val="-26"/>
        </w:rPr>
        <w:t> </w:t>
      </w:r>
      <w:r>
        <w:rPr>
          <w:spacing w:val="-3"/>
        </w:rPr>
        <w:t>sendo</w:t>
      </w:r>
      <w:r>
        <w:rPr>
          <w:spacing w:val="-25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único</w:t>
      </w:r>
      <w:r>
        <w:rPr>
          <w:spacing w:val="-25"/>
        </w:rPr>
        <w:t> </w:t>
      </w:r>
      <w:r>
        <w:rPr>
          <w:spacing w:val="-3"/>
        </w:rPr>
        <w:t>cliente</w:t>
      </w:r>
      <w:r>
        <w:rPr>
          <w:spacing w:val="-26"/>
        </w:rPr>
        <w:t> </w:t>
      </w:r>
      <w:r>
        <w:rPr/>
        <w:t>da</w:t>
      </w:r>
      <w:r>
        <w:rPr>
          <w:spacing w:val="-25"/>
        </w:rPr>
        <w:t> </w:t>
      </w:r>
      <w:r>
        <w:rPr>
          <w:spacing w:val="-4"/>
        </w:rPr>
        <w:t>Hemobrás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Ministério </w:t>
      </w:r>
      <w:r>
        <w:rPr/>
        <w:t>da</w:t>
      </w:r>
      <w:r>
        <w:rPr>
          <w:spacing w:val="-6"/>
        </w:rPr>
        <w:t> </w:t>
      </w:r>
      <w:r>
        <w:rPr/>
        <w:t>Saúde.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operações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medicamentos</w:t>
      </w:r>
      <w:r>
        <w:rPr>
          <w:spacing w:val="-6"/>
        </w:rPr>
        <w:t> </w:t>
      </w:r>
      <w:r>
        <w:rPr/>
        <w:t>feitas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Hemobrás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Ministério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5"/>
        </w:rPr>
        <w:t> </w:t>
      </w:r>
      <w:r>
        <w:rPr/>
        <w:t>são realizadas a preços e condições definidas por meio de contrato, que levam em consideração os valores praticados no mercado internacional e o equilíbrio econômico-financeiro da</w:t>
      </w:r>
      <w:r>
        <w:rPr>
          <w:spacing w:val="-24"/>
        </w:rPr>
        <w:t> </w:t>
      </w:r>
      <w:r>
        <w:rPr/>
        <w:t>Companhia.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899998</wp:posOffset>
            </wp:positionH>
            <wp:positionV relativeFrom="paragraph">
              <wp:posOffset>110892</wp:posOffset>
            </wp:positionV>
            <wp:extent cx="5701897" cy="1164145"/>
            <wp:effectExtent l="0" t="0" r="0" b="0"/>
            <wp:wrapTopAndBottom/>
            <wp:docPr id="6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897" cy="116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593" w:footer="546" w:top="1280" w:bottom="740" w:left="1280" w:right="1300"/>
        </w:sectPr>
      </w:pPr>
    </w:p>
    <w:p>
      <w:pPr>
        <w:pStyle w:val="Heading1"/>
        <w:spacing w:before="63"/>
        <w:ind w:left="137" w:firstLine="0"/>
        <w:rPr>
          <w:b w:val="0"/>
        </w:rPr>
      </w:pPr>
      <w:r>
        <w:rPr>
          <w:b w:val="0"/>
        </w:rPr>
        <w:t>Adiantamento para Futuro Aumento de Capital – AFAC</w:t>
      </w:r>
    </w:p>
    <w:p>
      <w:pPr>
        <w:pStyle w:val="BodyText"/>
        <w:spacing w:before="177"/>
        <w:ind w:left="364"/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899998</wp:posOffset>
            </wp:positionH>
            <wp:positionV relativeFrom="paragraph">
              <wp:posOffset>358509</wp:posOffset>
            </wp:positionV>
            <wp:extent cx="5797836" cy="780287"/>
            <wp:effectExtent l="0" t="0" r="0" b="0"/>
            <wp:wrapTopAndBottom/>
            <wp:docPr id="6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36" cy="78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-15"/>
        </w:rPr>
        <w:t> </w:t>
      </w:r>
      <w:r>
        <w:rPr/>
        <w:t>movimentações</w:t>
      </w:r>
      <w:r>
        <w:rPr>
          <w:spacing w:val="-15"/>
        </w:rPr>
        <w:t> </w:t>
      </w:r>
      <w:r>
        <w:rPr/>
        <w:t>ocorridas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conta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6"/>
        </w:rPr>
        <w:t>AFAC</w:t>
      </w:r>
      <w:r>
        <w:rPr>
          <w:spacing w:val="-15"/>
        </w:rPr>
        <w:t> </w:t>
      </w:r>
      <w:r>
        <w:rPr/>
        <w:t>estão</w:t>
      </w:r>
      <w:r>
        <w:rPr>
          <w:spacing w:val="-16"/>
        </w:rPr>
        <w:t> </w:t>
      </w:r>
      <w:r>
        <w:rPr/>
        <w:t>descritas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nota</w:t>
      </w:r>
      <w:r>
        <w:rPr>
          <w:spacing w:val="-15"/>
        </w:rPr>
        <w:t> </w:t>
      </w:r>
      <w:r>
        <w:rPr/>
        <w:t>explicativa</w:t>
      </w:r>
      <w:r>
        <w:rPr>
          <w:spacing w:val="-15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18.a.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505" w:val="left" w:leader="none"/>
        </w:tabs>
        <w:spacing w:line="240" w:lineRule="auto" w:before="0" w:after="0"/>
        <w:ind w:left="504" w:right="0" w:hanging="368"/>
        <w:jc w:val="left"/>
        <w:rPr>
          <w:b w:val="0"/>
        </w:rPr>
      </w:pPr>
      <w:r>
        <w:rPr>
          <w:b w:val="0"/>
          <w:color w:val="9D534E"/>
        </w:rPr>
        <w:t>PERSPECTIVAS</w:t>
      </w:r>
      <w:r>
        <w:rPr>
          <w:b w:val="0"/>
          <w:color w:val="9D534E"/>
          <w:spacing w:val="-3"/>
        </w:rPr>
        <w:t> </w:t>
      </w:r>
      <w:r>
        <w:rPr>
          <w:b w:val="0"/>
          <w:color w:val="9D534E"/>
        </w:rPr>
        <w:t>INSTITUCIONAIS</w:t>
      </w:r>
    </w:p>
    <w:p>
      <w:pPr>
        <w:pStyle w:val="BodyText"/>
        <w:rPr>
          <w:rFonts w:ascii="Roboto"/>
          <w:b w:val="0"/>
          <w:sz w:val="22"/>
        </w:rPr>
      </w:pPr>
    </w:p>
    <w:p>
      <w:pPr>
        <w:pStyle w:val="BodyText"/>
        <w:spacing w:line="254" w:lineRule="auto"/>
        <w:ind w:left="137" w:right="115" w:firstLine="226"/>
        <w:jc w:val="both"/>
      </w:pPr>
      <w:r>
        <w:rPr/>
        <w:t>A</w:t>
      </w:r>
      <w:r>
        <w:rPr>
          <w:spacing w:val="-21"/>
        </w:rPr>
        <w:t> </w:t>
      </w:r>
      <w:r>
        <w:rPr/>
        <w:t>Administração</w:t>
      </w:r>
      <w:r>
        <w:rPr>
          <w:spacing w:val="-21"/>
        </w:rPr>
        <w:t> </w:t>
      </w:r>
      <w:r>
        <w:rPr/>
        <w:t>da</w:t>
      </w:r>
      <w:r>
        <w:rPr>
          <w:spacing w:val="-20"/>
        </w:rPr>
        <w:t> </w:t>
      </w:r>
      <w:r>
        <w:rPr/>
        <w:t>Hemobrás</w:t>
      </w:r>
      <w:r>
        <w:rPr>
          <w:spacing w:val="-21"/>
        </w:rPr>
        <w:t> </w:t>
      </w:r>
      <w:r>
        <w:rPr/>
        <w:t>continuará</w:t>
      </w:r>
      <w:r>
        <w:rPr>
          <w:spacing w:val="-21"/>
        </w:rPr>
        <w:t> </w:t>
      </w:r>
      <w:r>
        <w:rPr/>
        <w:t>buscando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solução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/>
        <w:t>os</w:t>
      </w:r>
      <w:r>
        <w:rPr>
          <w:spacing w:val="-21"/>
        </w:rPr>
        <w:t> </w:t>
      </w:r>
      <w:r>
        <w:rPr/>
        <w:t>problemas</w:t>
      </w:r>
      <w:r>
        <w:rPr>
          <w:spacing w:val="-21"/>
        </w:rPr>
        <w:t> </w:t>
      </w:r>
      <w:r>
        <w:rPr/>
        <w:t>mais</w:t>
      </w:r>
      <w:r>
        <w:rPr>
          <w:spacing w:val="-20"/>
        </w:rPr>
        <w:t> </w:t>
      </w:r>
      <w:r>
        <w:rPr/>
        <w:t>urgentes, com</w:t>
      </w:r>
      <w:r>
        <w:rPr>
          <w:spacing w:val="-6"/>
        </w:rPr>
        <w:t> </w:t>
      </w:r>
      <w:r>
        <w:rPr/>
        <w:t>atenção</w:t>
      </w:r>
      <w:r>
        <w:rPr>
          <w:spacing w:val="-5"/>
        </w:rPr>
        <w:t> </w:t>
      </w:r>
      <w:r>
        <w:rPr/>
        <w:t>especial</w:t>
      </w:r>
      <w:r>
        <w:rPr>
          <w:spacing w:val="-5"/>
        </w:rPr>
        <w:t> </w:t>
      </w:r>
      <w:r>
        <w:rPr/>
        <w:t>às</w:t>
      </w:r>
      <w:r>
        <w:rPr>
          <w:spacing w:val="-5"/>
        </w:rPr>
        <w:t> </w:t>
      </w:r>
      <w:r>
        <w:rPr/>
        <w:t>questões</w:t>
      </w:r>
      <w:r>
        <w:rPr>
          <w:spacing w:val="-5"/>
        </w:rPr>
        <w:t> </w:t>
      </w:r>
      <w:r>
        <w:rPr/>
        <w:t>voltadas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retomada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gerenciamento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plasma</w:t>
      </w:r>
      <w:r>
        <w:rPr>
          <w:spacing w:val="-6"/>
        </w:rPr>
        <w:t> </w:t>
      </w:r>
      <w:r>
        <w:rPr/>
        <w:t>brasileiro,</w:t>
      </w:r>
      <w:r>
        <w:rPr>
          <w:spacing w:val="-5"/>
        </w:rPr>
        <w:t> </w:t>
      </w:r>
      <w:r>
        <w:rPr/>
        <w:t>à continuidade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obras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fábrica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hemoderivados,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manutenção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cronograma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fábrica</w:t>
      </w:r>
      <w:r>
        <w:rPr>
          <w:spacing w:val="-9"/>
        </w:rPr>
        <w:t> </w:t>
      </w:r>
      <w:r>
        <w:rPr/>
        <w:t>do medicamento</w:t>
      </w:r>
      <w:r>
        <w:rPr>
          <w:spacing w:val="-23"/>
        </w:rPr>
        <w:t> </w:t>
      </w:r>
      <w:r>
        <w:rPr/>
        <w:t>fator</w:t>
      </w:r>
      <w:r>
        <w:rPr>
          <w:spacing w:val="-23"/>
        </w:rPr>
        <w:t> </w:t>
      </w:r>
      <w:r>
        <w:rPr/>
        <w:t>VIII</w:t>
      </w:r>
      <w:r>
        <w:rPr>
          <w:spacing w:val="-23"/>
        </w:rPr>
        <w:t> </w:t>
      </w:r>
      <w:r>
        <w:rPr/>
        <w:t>recombinante</w:t>
      </w:r>
      <w:r>
        <w:rPr>
          <w:spacing w:val="-23"/>
        </w:rPr>
        <w:t> </w:t>
      </w:r>
      <w:r>
        <w:rPr/>
        <w:t>e</w:t>
      </w:r>
      <w:r>
        <w:rPr>
          <w:spacing w:val="-23"/>
        </w:rPr>
        <w:t> </w:t>
      </w:r>
      <w:r>
        <w:rPr/>
        <w:t>à</w:t>
      </w:r>
      <w:r>
        <w:rPr>
          <w:spacing w:val="-22"/>
        </w:rPr>
        <w:t> </w:t>
      </w:r>
      <w:r>
        <w:rPr/>
        <w:t>manutenção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9"/>
        </w:rPr>
        <w:t>PDP.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Administração</w:t>
      </w:r>
      <w:r>
        <w:rPr>
          <w:spacing w:val="-23"/>
        </w:rPr>
        <w:t> </w:t>
      </w:r>
      <w:r>
        <w:rPr/>
        <w:t>igualmente</w:t>
      </w:r>
      <w:r>
        <w:rPr>
          <w:spacing w:val="-22"/>
        </w:rPr>
        <w:t> </w:t>
      </w:r>
      <w:r>
        <w:rPr/>
        <w:t>manterá o constante e rigoroso controle orçamentário, com especial atenção às despesas, e persistirá na busca de solução viável para a proteção cambial do passivo em moeda</w:t>
      </w:r>
      <w:r>
        <w:rPr>
          <w:spacing w:val="-19"/>
        </w:rPr>
        <w:t> </w:t>
      </w:r>
      <w:r>
        <w:rPr/>
        <w:t>estrangeira.</w:t>
      </w:r>
    </w:p>
    <w:p>
      <w:pPr>
        <w:pStyle w:val="BodyText"/>
        <w:spacing w:line="254" w:lineRule="auto" w:before="137"/>
        <w:ind w:left="137" w:right="114" w:firstLine="226"/>
        <w:jc w:val="both"/>
      </w:pPr>
      <w:r>
        <w:rPr/>
        <w:t>A Companhia manterá o foco em buscar atingir as metas estratégicas corporativas para os próximos</w:t>
      </w:r>
      <w:r>
        <w:rPr>
          <w:spacing w:val="-22"/>
        </w:rPr>
        <w:t> </w:t>
      </w:r>
      <w:r>
        <w:rPr/>
        <w:t>anos,</w:t>
      </w:r>
      <w:r>
        <w:rPr>
          <w:spacing w:val="-22"/>
        </w:rPr>
        <w:t> </w:t>
      </w:r>
      <w:r>
        <w:rPr/>
        <w:t>entre</w:t>
      </w:r>
      <w:r>
        <w:rPr>
          <w:spacing w:val="-21"/>
        </w:rPr>
        <w:t> </w:t>
      </w:r>
      <w:r>
        <w:rPr/>
        <w:t>elas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produção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medicamentos</w:t>
      </w:r>
      <w:r>
        <w:rPr>
          <w:spacing w:val="-22"/>
        </w:rPr>
        <w:t> </w:t>
      </w:r>
      <w:r>
        <w:rPr/>
        <w:t>na</w:t>
      </w:r>
      <w:r>
        <w:rPr>
          <w:spacing w:val="-21"/>
        </w:rPr>
        <w:t> </w:t>
      </w:r>
      <w:r>
        <w:rPr/>
        <w:t>fábrica</w:t>
      </w:r>
      <w:r>
        <w:rPr>
          <w:spacing w:val="-22"/>
        </w:rPr>
        <w:t> </w:t>
      </w:r>
      <w:r>
        <w:rPr/>
        <w:t>da</w:t>
      </w:r>
      <w:r>
        <w:rPr>
          <w:spacing w:val="-21"/>
        </w:rPr>
        <w:t> </w:t>
      </w:r>
      <w:r>
        <w:rPr/>
        <w:t>Hemobrás,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sustentabilidade econômica, social e ambiental, e o modelo de gestão e governança adequado aos desafios da Companhia.</w:t>
      </w:r>
    </w:p>
    <w:p>
      <w:pPr>
        <w:pStyle w:val="BodyText"/>
        <w:spacing w:line="254" w:lineRule="auto" w:before="138"/>
        <w:ind w:left="137" w:right="115" w:firstLine="226"/>
        <w:jc w:val="both"/>
      </w:pPr>
      <w:r>
        <w:rPr/>
        <w:t>A</w:t>
      </w:r>
      <w:r>
        <w:rPr>
          <w:spacing w:val="-18"/>
        </w:rPr>
        <w:t> </w:t>
      </w:r>
      <w:r>
        <w:rPr/>
        <w:t>Hemobrás</w:t>
      </w:r>
      <w:r>
        <w:rPr>
          <w:spacing w:val="-18"/>
        </w:rPr>
        <w:t> </w:t>
      </w:r>
      <w:r>
        <w:rPr/>
        <w:t>continuará</w:t>
      </w:r>
      <w:r>
        <w:rPr>
          <w:spacing w:val="-17"/>
        </w:rPr>
        <w:t> </w:t>
      </w:r>
      <w:r>
        <w:rPr/>
        <w:t>buscando</w:t>
      </w:r>
      <w:r>
        <w:rPr>
          <w:spacing w:val="-18"/>
        </w:rPr>
        <w:t> </w:t>
      </w:r>
      <w:r>
        <w:rPr/>
        <w:t>alcançar</w:t>
      </w:r>
      <w:r>
        <w:rPr>
          <w:spacing w:val="-18"/>
        </w:rPr>
        <w:t> </w:t>
      </w:r>
      <w:r>
        <w:rPr/>
        <w:t>índices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alavancagem</w:t>
      </w:r>
      <w:r>
        <w:rPr>
          <w:spacing w:val="-17"/>
        </w:rPr>
        <w:t> </w:t>
      </w:r>
      <w:r>
        <w:rPr/>
        <w:t>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viabilidade</w:t>
      </w:r>
      <w:r>
        <w:rPr>
          <w:spacing w:val="-17"/>
        </w:rPr>
        <w:t> </w:t>
      </w:r>
      <w:r>
        <w:rPr/>
        <w:t>econômico- financeira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possibilitem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recomposição</w:t>
      </w:r>
      <w:r>
        <w:rPr>
          <w:spacing w:val="-19"/>
        </w:rPr>
        <w:t> </w:t>
      </w:r>
      <w:r>
        <w:rPr/>
        <w:t>do</w:t>
      </w:r>
      <w:r>
        <w:rPr>
          <w:spacing w:val="-20"/>
        </w:rPr>
        <w:t> </w:t>
      </w:r>
      <w:r>
        <w:rPr/>
        <w:t>precitado</w:t>
      </w:r>
      <w:r>
        <w:rPr>
          <w:spacing w:val="-20"/>
        </w:rPr>
        <w:t> </w:t>
      </w:r>
      <w:r>
        <w:rPr/>
        <w:t>capital</w:t>
      </w:r>
      <w:r>
        <w:rPr>
          <w:spacing w:val="-19"/>
        </w:rPr>
        <w:t> </w:t>
      </w:r>
      <w:r>
        <w:rPr/>
        <w:t>social</w:t>
      </w:r>
      <w:r>
        <w:rPr>
          <w:spacing w:val="-20"/>
        </w:rPr>
        <w:t> </w:t>
      </w:r>
      <w:r>
        <w:rPr/>
        <w:t>e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garantia</w:t>
      </w:r>
      <w:r>
        <w:rPr>
          <w:spacing w:val="-19"/>
        </w:rPr>
        <w:t> </w:t>
      </w:r>
      <w:r>
        <w:rPr/>
        <w:t>da</w:t>
      </w:r>
      <w:r>
        <w:rPr>
          <w:spacing w:val="-20"/>
        </w:rPr>
        <w:t> </w:t>
      </w:r>
      <w:r>
        <w:rPr/>
        <w:t>continuidade normal de seus negócios.</w:t>
      </w:r>
    </w:p>
    <w:p>
      <w:pPr>
        <w:pStyle w:val="BodyText"/>
        <w:spacing w:line="254" w:lineRule="auto" w:before="139"/>
        <w:ind w:left="137" w:right="112" w:firstLine="226"/>
        <w:jc w:val="both"/>
      </w:pPr>
      <w:r>
        <w:rPr/>
        <w:t>A</w:t>
      </w:r>
      <w:r>
        <w:rPr>
          <w:spacing w:val="-13"/>
        </w:rPr>
        <w:t> </w:t>
      </w:r>
      <w:r>
        <w:rPr/>
        <w:t>Hemobrás</w:t>
      </w:r>
      <w:r>
        <w:rPr>
          <w:spacing w:val="-12"/>
        </w:rPr>
        <w:t> </w:t>
      </w:r>
      <w:r>
        <w:rPr/>
        <w:t>mantém</w:t>
      </w:r>
      <w:r>
        <w:rPr>
          <w:spacing w:val="-12"/>
        </w:rPr>
        <w:t> </w:t>
      </w:r>
      <w:r>
        <w:rPr/>
        <w:t>parte</w:t>
      </w:r>
      <w:r>
        <w:rPr>
          <w:spacing w:val="-12"/>
        </w:rPr>
        <w:t> </w:t>
      </w:r>
      <w:r>
        <w:rPr/>
        <w:t>significativa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seus</w:t>
      </w:r>
      <w:r>
        <w:rPr>
          <w:spacing w:val="-12"/>
        </w:rPr>
        <w:t> </w:t>
      </w:r>
      <w:r>
        <w:rPr/>
        <w:t>negócios</w:t>
      </w:r>
      <w:r>
        <w:rPr>
          <w:spacing w:val="-12"/>
        </w:rPr>
        <w:t> </w:t>
      </w:r>
      <w:r>
        <w:rPr/>
        <w:t>com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transferidores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tecnologia, </w:t>
      </w:r>
      <w:r>
        <w:rPr>
          <w:spacing w:val="-4"/>
        </w:rPr>
        <w:t>Takeda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/>
        <w:t>LFB,</w:t>
      </w:r>
      <w:r>
        <w:rPr>
          <w:spacing w:val="-23"/>
        </w:rPr>
        <w:t> </w:t>
      </w:r>
      <w:r>
        <w:rPr/>
        <w:t>sendo</w:t>
      </w:r>
      <w:r>
        <w:rPr>
          <w:spacing w:val="-23"/>
        </w:rPr>
        <w:t> </w:t>
      </w:r>
      <w:r>
        <w:rPr/>
        <w:t>estes</w:t>
      </w:r>
      <w:r>
        <w:rPr>
          <w:spacing w:val="-24"/>
        </w:rPr>
        <w:t> </w:t>
      </w:r>
      <w:r>
        <w:rPr/>
        <w:t>seus</w:t>
      </w:r>
      <w:r>
        <w:rPr>
          <w:spacing w:val="-23"/>
        </w:rPr>
        <w:t> </w:t>
      </w:r>
      <w:r>
        <w:rPr/>
        <w:t>únicos</w:t>
      </w:r>
      <w:r>
        <w:rPr>
          <w:spacing w:val="-23"/>
        </w:rPr>
        <w:t> </w:t>
      </w:r>
      <w:r>
        <w:rPr/>
        <w:t>fornecedores</w:t>
      </w:r>
      <w:r>
        <w:rPr>
          <w:spacing w:val="-23"/>
        </w:rPr>
        <w:t> </w:t>
      </w:r>
      <w:r>
        <w:rPr/>
        <w:t>operacionais.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relação</w:t>
      </w:r>
      <w:r>
        <w:rPr>
          <w:spacing w:val="-23"/>
        </w:rPr>
        <w:t> </w:t>
      </w:r>
      <w:r>
        <w:rPr/>
        <w:t>existente</w:t>
      </w:r>
      <w:r>
        <w:rPr>
          <w:spacing w:val="-23"/>
        </w:rPr>
        <w:t> </w:t>
      </w:r>
      <w:r>
        <w:rPr/>
        <w:t>é</w:t>
      </w:r>
      <w:r>
        <w:rPr>
          <w:spacing w:val="-23"/>
        </w:rPr>
        <w:t> </w:t>
      </w:r>
      <w:r>
        <w:rPr/>
        <w:t>meramente econômica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transferência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conhecimento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produção</w:t>
      </w:r>
      <w:r>
        <w:rPr>
          <w:spacing w:val="-8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dos</w:t>
      </w:r>
      <w:r>
        <w:rPr>
          <w:spacing w:val="-8"/>
        </w:rPr>
        <w:t> </w:t>
      </w:r>
      <w:r>
        <w:rPr/>
        <w:t>medicamentos</w:t>
      </w:r>
      <w:r>
        <w:rPr>
          <w:spacing w:val="-8"/>
        </w:rPr>
        <w:t> </w:t>
      </w:r>
      <w:r>
        <w:rPr/>
        <w:t>feitos por cada transferidor e previstos</w:t>
      </w:r>
      <w:r>
        <w:rPr>
          <w:spacing w:val="-4"/>
        </w:rPr>
        <w:t> </w:t>
      </w:r>
      <w:r>
        <w:rPr/>
        <w:t>contratualmente.</w:t>
      </w:r>
    </w:p>
    <w:p>
      <w:pPr>
        <w:pStyle w:val="BodyText"/>
        <w:spacing w:before="139"/>
        <w:ind w:left="364"/>
      </w:pPr>
      <w:r>
        <w:rPr/>
        <w:t>Atualmente,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Ministério</w:t>
      </w:r>
      <w:r>
        <w:rPr>
          <w:spacing w:val="-22"/>
        </w:rPr>
        <w:t> </w:t>
      </w:r>
      <w:r>
        <w:rPr/>
        <w:t>da</w:t>
      </w:r>
      <w:r>
        <w:rPr>
          <w:spacing w:val="-23"/>
        </w:rPr>
        <w:t> </w:t>
      </w:r>
      <w:r>
        <w:rPr/>
        <w:t>Saúde</w:t>
      </w:r>
      <w:r>
        <w:rPr>
          <w:spacing w:val="-22"/>
        </w:rPr>
        <w:t> </w:t>
      </w:r>
      <w:r>
        <w:rPr/>
        <w:t>é</w:t>
      </w:r>
      <w:r>
        <w:rPr>
          <w:spacing w:val="-23"/>
        </w:rPr>
        <w:t> </w:t>
      </w:r>
      <w:r>
        <w:rPr/>
        <w:t>cliente</w:t>
      </w:r>
      <w:r>
        <w:rPr>
          <w:spacing w:val="-22"/>
        </w:rPr>
        <w:t> </w:t>
      </w:r>
      <w:r>
        <w:rPr/>
        <w:t>exclusivo</w:t>
      </w:r>
      <w:r>
        <w:rPr>
          <w:spacing w:val="-23"/>
        </w:rPr>
        <w:t> </w:t>
      </w:r>
      <w:r>
        <w:rPr/>
        <w:t>da</w:t>
      </w:r>
      <w:r>
        <w:rPr>
          <w:spacing w:val="-22"/>
        </w:rPr>
        <w:t> </w:t>
      </w:r>
      <w:r>
        <w:rPr/>
        <w:t>Hemobrás,</w:t>
      </w:r>
      <w:r>
        <w:rPr>
          <w:spacing w:val="-23"/>
        </w:rPr>
        <w:t> </w:t>
      </w:r>
      <w:r>
        <w:rPr/>
        <w:t>o</w:t>
      </w:r>
      <w:r>
        <w:rPr>
          <w:spacing w:val="-22"/>
        </w:rPr>
        <w:t> </w:t>
      </w:r>
      <w:r>
        <w:rPr/>
        <w:t>que</w:t>
      </w:r>
      <w:r>
        <w:rPr>
          <w:spacing w:val="-23"/>
        </w:rPr>
        <w:t> </w:t>
      </w:r>
      <w:r>
        <w:rPr/>
        <w:t>resulta</w:t>
      </w:r>
      <w:r>
        <w:rPr>
          <w:spacing w:val="-22"/>
        </w:rPr>
        <w:t> </w:t>
      </w:r>
      <w:r>
        <w:rPr/>
        <w:t>em</w:t>
      </w:r>
      <w:r>
        <w:rPr>
          <w:spacing w:val="-23"/>
        </w:rPr>
        <w:t> </w:t>
      </w:r>
      <w:r>
        <w:rPr/>
        <w:t>dependência</w:t>
      </w:r>
    </w:p>
    <w:p>
      <w:pPr>
        <w:pStyle w:val="BodyText"/>
        <w:spacing w:before="14"/>
        <w:ind w:left="137"/>
      </w:pPr>
      <w:r>
        <w:rPr/>
        <w:t>econômica e importante influência em sua continuidade operacional.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181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OPERAÇÃO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PULSO</w:t>
      </w:r>
    </w:p>
    <w:p>
      <w:pPr>
        <w:pStyle w:val="BodyText"/>
        <w:rPr>
          <w:rFonts w:ascii="Roboto"/>
          <w:b w:val="0"/>
          <w:sz w:val="22"/>
        </w:rPr>
      </w:pPr>
    </w:p>
    <w:p>
      <w:pPr>
        <w:pStyle w:val="BodyText"/>
        <w:spacing w:line="254" w:lineRule="auto"/>
        <w:ind w:left="137" w:right="115" w:firstLine="226"/>
        <w:jc w:val="both"/>
      </w:pPr>
      <w:r>
        <w:rPr/>
        <w:t>Em</w:t>
      </w:r>
      <w:r>
        <w:rPr>
          <w:spacing w:val="-17"/>
        </w:rPr>
        <w:t> </w:t>
      </w:r>
      <w:r>
        <w:rPr/>
        <w:t>dezembro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2015,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Polícia</w:t>
      </w:r>
      <w:r>
        <w:rPr>
          <w:spacing w:val="-17"/>
        </w:rPr>
        <w:t> </w:t>
      </w:r>
      <w:r>
        <w:rPr/>
        <w:t>Federal</w:t>
      </w:r>
      <w:r>
        <w:rPr>
          <w:spacing w:val="-17"/>
        </w:rPr>
        <w:t> </w:t>
      </w:r>
      <w:r>
        <w:rPr/>
        <w:t>deflagrou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Operação</w:t>
      </w:r>
      <w:r>
        <w:rPr>
          <w:spacing w:val="-17"/>
        </w:rPr>
        <w:t> </w:t>
      </w:r>
      <w:r>
        <w:rPr/>
        <w:t>Pulso,</w:t>
      </w:r>
      <w:r>
        <w:rPr>
          <w:spacing w:val="-17"/>
        </w:rPr>
        <w:t> </w:t>
      </w:r>
      <w:r>
        <w:rPr/>
        <w:t>cuja</w:t>
      </w:r>
      <w:r>
        <w:rPr>
          <w:spacing w:val="-17"/>
        </w:rPr>
        <w:t> </w:t>
      </w:r>
      <w:r>
        <w:rPr/>
        <w:t>intenção</w:t>
      </w:r>
      <w:r>
        <w:rPr>
          <w:spacing w:val="-17"/>
        </w:rPr>
        <w:t> </w:t>
      </w:r>
      <w:r>
        <w:rPr/>
        <w:t>era</w:t>
      </w:r>
      <w:r>
        <w:rPr>
          <w:spacing w:val="-17"/>
        </w:rPr>
        <w:t> </w:t>
      </w:r>
      <w:r>
        <w:rPr/>
        <w:t>investigar irregularidades em licitações e contratos de logística de plasma e hemoderivados vinculados à Hemobrás. As investigações também buscaram apurar a existência de fraude na construção da fábrica em</w:t>
      </w:r>
      <w:r>
        <w:rPr>
          <w:spacing w:val="-1"/>
        </w:rPr>
        <w:t> </w:t>
      </w:r>
      <w:r>
        <w:rPr/>
        <w:t>Goiana-PE.</w:t>
      </w:r>
    </w:p>
    <w:p>
      <w:pPr>
        <w:pStyle w:val="BodyText"/>
        <w:spacing w:line="254" w:lineRule="auto" w:before="139"/>
        <w:ind w:left="137" w:right="113" w:firstLine="226"/>
        <w:jc w:val="both"/>
      </w:pPr>
      <w:r>
        <w:rPr/>
        <w:t>As</w:t>
      </w:r>
      <w:r>
        <w:rPr>
          <w:spacing w:val="-24"/>
        </w:rPr>
        <w:t> </w:t>
      </w:r>
      <w:r>
        <w:rPr>
          <w:spacing w:val="-3"/>
        </w:rPr>
        <w:t>investigações</w:t>
      </w:r>
      <w:r>
        <w:rPr>
          <w:spacing w:val="-23"/>
        </w:rPr>
        <w:t> </w:t>
      </w:r>
      <w:r>
        <w:rPr>
          <w:spacing w:val="-3"/>
        </w:rPr>
        <w:t>continuam</w:t>
      </w:r>
      <w:r>
        <w:rPr>
          <w:spacing w:val="-23"/>
        </w:rPr>
        <w:t> </w:t>
      </w:r>
      <w:r>
        <w:rPr/>
        <w:t>sob</w:t>
      </w:r>
      <w:r>
        <w:rPr>
          <w:spacing w:val="-23"/>
        </w:rPr>
        <w:t> </w:t>
      </w:r>
      <w:r>
        <w:rPr>
          <w:spacing w:val="-3"/>
        </w:rPr>
        <w:t>condução</w:t>
      </w:r>
      <w:r>
        <w:rPr>
          <w:spacing w:val="-23"/>
        </w:rPr>
        <w:t> </w:t>
      </w:r>
      <w:r>
        <w:rPr/>
        <w:t>da</w:t>
      </w:r>
      <w:r>
        <w:rPr>
          <w:spacing w:val="-23"/>
        </w:rPr>
        <w:t> </w:t>
      </w:r>
      <w:r>
        <w:rPr>
          <w:spacing w:val="-3"/>
        </w:rPr>
        <w:t>Polícia</w:t>
      </w:r>
      <w:r>
        <w:rPr>
          <w:spacing w:val="-23"/>
        </w:rPr>
        <w:t> </w:t>
      </w:r>
      <w:r>
        <w:rPr>
          <w:spacing w:val="-4"/>
        </w:rPr>
        <w:t>Federal</w:t>
      </w:r>
      <w:r>
        <w:rPr>
          <w:spacing w:val="-24"/>
        </w:rPr>
        <w:t> </w:t>
      </w:r>
      <w:r>
        <w:rPr/>
        <w:t>e</w:t>
      </w:r>
      <w:r>
        <w:rPr>
          <w:spacing w:val="-23"/>
        </w:rPr>
        <w:t> </w:t>
      </w:r>
      <w:r>
        <w:rPr/>
        <w:t>do</w:t>
      </w:r>
      <w:r>
        <w:rPr>
          <w:spacing w:val="-23"/>
        </w:rPr>
        <w:t> </w:t>
      </w:r>
      <w:r>
        <w:rPr>
          <w:spacing w:val="-3"/>
        </w:rPr>
        <w:t>Ministério</w:t>
      </w:r>
      <w:r>
        <w:rPr>
          <w:spacing w:val="-23"/>
        </w:rPr>
        <w:t> </w:t>
      </w:r>
      <w:r>
        <w:rPr>
          <w:spacing w:val="-3"/>
        </w:rPr>
        <w:t>Público</w:t>
      </w:r>
      <w:r>
        <w:rPr>
          <w:spacing w:val="-23"/>
        </w:rPr>
        <w:t> </w:t>
      </w:r>
      <w:r>
        <w:rPr>
          <w:spacing w:val="-4"/>
        </w:rPr>
        <w:t>Federal</w:t>
      </w:r>
      <w:r>
        <w:rPr>
          <w:spacing w:val="-23"/>
        </w:rPr>
        <w:t> </w:t>
      </w:r>
      <w:r>
        <w:rPr/>
        <w:t>–</w:t>
      </w:r>
      <w:r>
        <w:rPr>
          <w:spacing w:val="-23"/>
        </w:rPr>
        <w:t> </w:t>
      </w:r>
      <w:r>
        <w:rPr>
          <w:spacing w:val="-8"/>
        </w:rPr>
        <w:t>MPF. </w:t>
      </w:r>
      <w:r>
        <w:rPr/>
        <w:t>Durante o exercício de 2017, esta estatal instituiu seis Processos Administrativos Disciplinares – </w:t>
      </w:r>
      <w:r>
        <w:rPr>
          <w:spacing w:val="-6"/>
        </w:rPr>
        <w:t>PAD</w:t>
      </w:r>
      <w:r>
        <w:rPr>
          <w:spacing w:val="-11"/>
        </w:rPr>
        <w:t> </w:t>
      </w:r>
      <w:r>
        <w:rPr/>
        <w:t>decorrentes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apontamentos</w:t>
      </w:r>
      <w:r>
        <w:rPr>
          <w:spacing w:val="-10"/>
        </w:rPr>
        <w:t> </w:t>
      </w:r>
      <w:r>
        <w:rPr/>
        <w:t>ou</w:t>
      </w:r>
      <w:r>
        <w:rPr>
          <w:spacing w:val="-11"/>
        </w:rPr>
        <w:t> </w:t>
      </w:r>
      <w:r>
        <w:rPr/>
        <w:t>recomendações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entidades</w:t>
      </w:r>
      <w:r>
        <w:rPr>
          <w:spacing w:val="-11"/>
        </w:rPr>
        <w:t> </w:t>
      </w:r>
      <w:r>
        <w:rPr/>
        <w:t>externas</w:t>
      </w:r>
      <w:r>
        <w:rPr>
          <w:spacing w:val="-11"/>
        </w:rPr>
        <w:t> </w:t>
      </w:r>
      <w:r>
        <w:rPr/>
        <w:t>(Controladoria-Geral da União, Tribunal de Contas da União, MPF e/ou Polícia Federal) e/ou da Auditoria Interna. Em 2017, o ex-presidente, que estava afastado, renunciou ao</w:t>
      </w:r>
      <w:r>
        <w:rPr>
          <w:spacing w:val="-4"/>
        </w:rPr>
        <w:t> </w:t>
      </w:r>
      <w:r>
        <w:rPr/>
        <w:t>cargo.</w:t>
      </w:r>
    </w:p>
    <w:p>
      <w:pPr>
        <w:pStyle w:val="BodyText"/>
        <w:spacing w:line="254" w:lineRule="auto" w:before="137"/>
        <w:ind w:left="137" w:right="114" w:firstLine="226"/>
        <w:jc w:val="both"/>
      </w:pPr>
      <w:r>
        <w:rPr/>
        <w:t>Em</w:t>
      </w:r>
      <w:r>
        <w:rPr>
          <w:spacing w:val="-21"/>
        </w:rPr>
        <w:t> </w:t>
      </w:r>
      <w:r>
        <w:rPr/>
        <w:t>2018,</w:t>
      </w:r>
      <w:r>
        <w:rPr>
          <w:spacing w:val="-21"/>
        </w:rPr>
        <w:t> </w:t>
      </w:r>
      <w:r>
        <w:rPr/>
        <w:t>houve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julgamento</w:t>
      </w:r>
      <w:r>
        <w:rPr>
          <w:spacing w:val="-21"/>
        </w:rPr>
        <w:t> </w:t>
      </w:r>
      <w:r>
        <w:rPr/>
        <w:t>em</w:t>
      </w:r>
      <w:r>
        <w:rPr>
          <w:spacing w:val="-20"/>
        </w:rPr>
        <w:t> </w:t>
      </w:r>
      <w:r>
        <w:rPr/>
        <w:t>primeira</w:t>
      </w:r>
      <w:r>
        <w:rPr>
          <w:spacing w:val="-21"/>
        </w:rPr>
        <w:t> </w:t>
      </w:r>
      <w:r>
        <w:rPr/>
        <w:t>instância</w:t>
      </w:r>
      <w:r>
        <w:rPr>
          <w:spacing w:val="-20"/>
        </w:rPr>
        <w:t> </w:t>
      </w:r>
      <w:r>
        <w:rPr/>
        <w:t>do</w:t>
      </w:r>
      <w:r>
        <w:rPr>
          <w:spacing w:val="-21"/>
        </w:rPr>
        <w:t> </w:t>
      </w:r>
      <w:r>
        <w:rPr/>
        <w:t>primeiro</w:t>
      </w:r>
      <w:r>
        <w:rPr>
          <w:spacing w:val="-21"/>
        </w:rPr>
        <w:t> </w:t>
      </w:r>
      <w:r>
        <w:rPr/>
        <w:t>processo.</w:t>
      </w:r>
      <w:r>
        <w:rPr>
          <w:spacing w:val="-20"/>
        </w:rPr>
        <w:t> </w:t>
      </w:r>
      <w:r>
        <w:rPr/>
        <w:t>Como</w:t>
      </w:r>
      <w:r>
        <w:rPr>
          <w:spacing w:val="-21"/>
        </w:rPr>
        <w:t> </w:t>
      </w:r>
      <w:r>
        <w:rPr/>
        <w:t>desdobramento da operação, o MPF-PE, ainda em 2018, apresentou nova denúncia referente a outro processo investigado na Operação</w:t>
      </w:r>
      <w:r>
        <w:rPr>
          <w:spacing w:val="-1"/>
        </w:rPr>
        <w:t> </w:t>
      </w:r>
      <w:r>
        <w:rPr/>
        <w:t>Pulso.</w:t>
      </w:r>
    </w:p>
    <w:p>
      <w:pPr>
        <w:pStyle w:val="BodyText"/>
        <w:spacing w:line="254" w:lineRule="auto" w:before="139"/>
        <w:ind w:left="137" w:right="113" w:firstLine="226"/>
        <w:jc w:val="both"/>
      </w:pPr>
      <w:r>
        <w:rPr/>
        <w:t>No decorrer do exercício de 2019 não houve novos fatos relacionados à Operação Pulso e a </w:t>
      </w:r>
      <w:r>
        <w:rPr>
          <w:spacing w:val="-4"/>
        </w:rPr>
        <w:t>Hemobrás</w:t>
      </w:r>
      <w:r>
        <w:rPr>
          <w:spacing w:val="-31"/>
        </w:rPr>
        <w:t> </w:t>
      </w:r>
      <w:r>
        <w:rPr>
          <w:spacing w:val="-3"/>
        </w:rPr>
        <w:t>continua</w:t>
      </w:r>
      <w:r>
        <w:rPr>
          <w:spacing w:val="-30"/>
        </w:rPr>
        <w:t> </w:t>
      </w:r>
      <w:r>
        <w:rPr>
          <w:spacing w:val="-3"/>
        </w:rPr>
        <w:t>acompanhando</w:t>
      </w:r>
      <w:r>
        <w:rPr>
          <w:spacing w:val="-31"/>
        </w:rPr>
        <w:t> </w:t>
      </w:r>
      <w:r>
        <w:rPr/>
        <w:t>as</w:t>
      </w:r>
      <w:r>
        <w:rPr>
          <w:spacing w:val="-30"/>
        </w:rPr>
        <w:t> </w:t>
      </w:r>
      <w:r>
        <w:rPr>
          <w:spacing w:val="-3"/>
        </w:rPr>
        <w:t>investigações</w:t>
      </w:r>
      <w:r>
        <w:rPr>
          <w:spacing w:val="-30"/>
        </w:rPr>
        <w:t> </w:t>
      </w:r>
      <w:r>
        <w:rPr/>
        <w:t>e</w:t>
      </w:r>
      <w:r>
        <w:rPr>
          <w:spacing w:val="-31"/>
        </w:rPr>
        <w:t> </w:t>
      </w:r>
      <w:r>
        <w:rPr>
          <w:spacing w:val="-4"/>
        </w:rPr>
        <w:t>colaborando</w:t>
      </w:r>
      <w:r>
        <w:rPr>
          <w:spacing w:val="-30"/>
        </w:rPr>
        <w:t> </w:t>
      </w:r>
      <w:r>
        <w:rPr/>
        <w:t>com</w:t>
      </w:r>
      <w:r>
        <w:rPr>
          <w:spacing w:val="-30"/>
        </w:rPr>
        <w:t> </w:t>
      </w:r>
      <w:r>
        <w:rPr/>
        <w:t>as</w:t>
      </w:r>
      <w:r>
        <w:rPr>
          <w:spacing w:val="-31"/>
        </w:rPr>
        <w:t> </w:t>
      </w:r>
      <w:r>
        <w:rPr>
          <w:spacing w:val="-3"/>
        </w:rPr>
        <w:t>autoridades</w:t>
      </w:r>
      <w:r>
        <w:rPr>
          <w:spacing w:val="-30"/>
        </w:rPr>
        <w:t> </w:t>
      </w:r>
      <w:r>
        <w:rPr>
          <w:spacing w:val="-3"/>
        </w:rPr>
        <w:t>competentes.</w:t>
      </w:r>
    </w:p>
    <w:p>
      <w:pPr>
        <w:spacing w:after="0" w:line="254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pStyle w:val="BodyText"/>
        <w:spacing w:before="87"/>
        <w:ind w:left="364"/>
      </w:pPr>
      <w:r>
        <w:rPr/>
        <w:t>A Companhia atua para sedimentar continuamente sua cultura de conformidade, fortalecendo o</w:t>
      </w:r>
    </w:p>
    <w:p>
      <w:pPr>
        <w:pStyle w:val="BodyText"/>
        <w:spacing w:before="8"/>
        <w:ind w:left="137"/>
      </w:pPr>
      <w:r>
        <w:rPr/>
        <w:t>valor institucional “ética e integridade” com base nos seguintes dispositivos:</w:t>
      </w:r>
    </w:p>
    <w:p>
      <w:pPr>
        <w:pStyle w:val="ListParagraph"/>
        <w:numPr>
          <w:ilvl w:val="0"/>
          <w:numId w:val="10"/>
        </w:numPr>
        <w:tabs>
          <w:tab w:pos="647" w:val="left" w:leader="none"/>
          <w:tab w:pos="648" w:val="left" w:leader="none"/>
        </w:tabs>
        <w:spacing w:line="240" w:lineRule="auto" w:before="129" w:after="0"/>
        <w:ind w:left="647" w:right="0" w:hanging="284"/>
        <w:jc w:val="left"/>
        <w:rPr>
          <w:rFonts w:ascii="RobotoRegular" w:hAnsi="RobotoRegular"/>
          <w:sz w:val="21"/>
        </w:rPr>
      </w:pPr>
      <w:r>
        <w:rPr>
          <w:rFonts w:ascii="RobotoRegular" w:hAnsi="RobotoRegular"/>
          <w:sz w:val="21"/>
        </w:rPr>
        <w:t>Código de Conduta e de Integridade;</w:t>
      </w:r>
    </w:p>
    <w:p>
      <w:pPr>
        <w:pStyle w:val="ListParagraph"/>
        <w:numPr>
          <w:ilvl w:val="0"/>
          <w:numId w:val="10"/>
        </w:numPr>
        <w:tabs>
          <w:tab w:pos="647" w:val="left" w:leader="none"/>
          <w:tab w:pos="648" w:val="left" w:leader="none"/>
        </w:tabs>
        <w:spacing w:line="240" w:lineRule="auto" w:before="125" w:after="0"/>
        <w:ind w:left="647" w:right="0" w:hanging="284"/>
        <w:jc w:val="left"/>
        <w:rPr>
          <w:rFonts w:ascii="RobotoRegular" w:hAnsi="RobotoRegular"/>
          <w:sz w:val="21"/>
        </w:rPr>
      </w:pPr>
      <w:r>
        <w:rPr>
          <w:rFonts w:ascii="RobotoRegular" w:hAnsi="RobotoRegular"/>
          <w:sz w:val="21"/>
        </w:rPr>
        <w:t>Política de Proteção aos Denunciantes de</w:t>
      </w:r>
      <w:r>
        <w:rPr>
          <w:rFonts w:ascii="RobotoRegular" w:hAnsi="RobotoRegular"/>
          <w:spacing w:val="-4"/>
          <w:sz w:val="21"/>
        </w:rPr>
        <w:t> </w:t>
      </w:r>
      <w:r>
        <w:rPr>
          <w:rFonts w:ascii="RobotoRegular" w:hAnsi="RobotoRegular"/>
          <w:sz w:val="21"/>
        </w:rPr>
        <w:t>Boa-fé;</w:t>
      </w:r>
    </w:p>
    <w:p>
      <w:pPr>
        <w:pStyle w:val="ListParagraph"/>
        <w:numPr>
          <w:ilvl w:val="0"/>
          <w:numId w:val="10"/>
        </w:numPr>
        <w:tabs>
          <w:tab w:pos="647" w:val="left" w:leader="none"/>
          <w:tab w:pos="648" w:val="left" w:leader="none"/>
        </w:tabs>
        <w:spacing w:line="240" w:lineRule="auto" w:before="124" w:after="0"/>
        <w:ind w:left="647" w:right="0" w:hanging="284"/>
        <w:jc w:val="left"/>
        <w:rPr>
          <w:rFonts w:ascii="RobotoRegular" w:hAnsi="RobotoRegular"/>
          <w:sz w:val="21"/>
        </w:rPr>
      </w:pPr>
      <w:r>
        <w:rPr>
          <w:rFonts w:ascii="RobotoRegular" w:hAnsi="RobotoRegular"/>
          <w:sz w:val="21"/>
        </w:rPr>
        <w:t>Política de </w:t>
      </w:r>
      <w:r>
        <w:rPr>
          <w:rFonts w:ascii="RobotoRegular" w:hAnsi="RobotoRegular"/>
          <w:spacing w:val="-3"/>
          <w:sz w:val="21"/>
        </w:rPr>
        <w:t>Tomada </w:t>
      </w:r>
      <w:r>
        <w:rPr>
          <w:rFonts w:ascii="RobotoRegular" w:hAnsi="RobotoRegular"/>
          <w:sz w:val="21"/>
        </w:rPr>
        <w:t>de Decisão e Alçadas</w:t>
      </w:r>
      <w:r>
        <w:rPr>
          <w:rFonts w:ascii="RobotoRegular" w:hAnsi="RobotoRegular"/>
          <w:spacing w:val="-6"/>
          <w:sz w:val="21"/>
        </w:rPr>
        <w:t> </w:t>
      </w:r>
      <w:r>
        <w:rPr>
          <w:rFonts w:ascii="RobotoRegular" w:hAnsi="RobotoRegular"/>
          <w:sz w:val="21"/>
        </w:rPr>
        <w:t>Decisórias;</w:t>
      </w:r>
    </w:p>
    <w:p>
      <w:pPr>
        <w:pStyle w:val="ListParagraph"/>
        <w:numPr>
          <w:ilvl w:val="0"/>
          <w:numId w:val="10"/>
        </w:numPr>
        <w:tabs>
          <w:tab w:pos="647" w:val="left" w:leader="none"/>
          <w:tab w:pos="648" w:val="left" w:leader="none"/>
        </w:tabs>
        <w:spacing w:line="240" w:lineRule="auto" w:before="125" w:after="0"/>
        <w:ind w:left="647" w:right="0" w:hanging="284"/>
        <w:jc w:val="left"/>
        <w:rPr>
          <w:rFonts w:ascii="RobotoRegular" w:hAnsi="RobotoRegular"/>
          <w:sz w:val="21"/>
        </w:rPr>
      </w:pPr>
      <w:r>
        <w:rPr>
          <w:rFonts w:ascii="RobotoRegular" w:hAnsi="RobotoRegular"/>
          <w:sz w:val="21"/>
        </w:rPr>
        <w:t>Normativa de Proteção aos Registros e Controles</w:t>
      </w:r>
      <w:r>
        <w:rPr>
          <w:rFonts w:ascii="RobotoRegular" w:hAnsi="RobotoRegular"/>
          <w:spacing w:val="-6"/>
          <w:sz w:val="21"/>
        </w:rPr>
        <w:t> </w:t>
      </w:r>
      <w:r>
        <w:rPr>
          <w:rFonts w:ascii="RobotoRegular" w:hAnsi="RobotoRegular"/>
          <w:sz w:val="21"/>
        </w:rPr>
        <w:t>Contábeis.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16" w:val="left" w:leader="none"/>
          <w:tab w:pos="617" w:val="left" w:leader="none"/>
        </w:tabs>
        <w:spacing w:line="240" w:lineRule="auto" w:before="171" w:after="0"/>
        <w:ind w:left="616" w:right="0" w:hanging="480"/>
        <w:jc w:val="left"/>
        <w:rPr>
          <w:b w:val="0"/>
        </w:rPr>
      </w:pPr>
      <w:r>
        <w:rPr>
          <w:b w:val="0"/>
          <w:color w:val="9D534E"/>
        </w:rPr>
        <w:t>EVENTOS</w:t>
      </w:r>
      <w:r>
        <w:rPr>
          <w:b w:val="0"/>
          <w:color w:val="9D534E"/>
          <w:spacing w:val="-2"/>
        </w:rPr>
        <w:t> </w:t>
      </w:r>
      <w:r>
        <w:rPr>
          <w:b w:val="0"/>
          <w:color w:val="9D534E"/>
        </w:rPr>
        <w:t>SUBSQUENTES</w:t>
      </w:r>
    </w:p>
    <w:p>
      <w:pPr>
        <w:pStyle w:val="BodyText"/>
        <w:spacing w:before="7"/>
        <w:rPr>
          <w:rFonts w:ascii="Roboto"/>
          <w:b w:val="0"/>
        </w:rPr>
      </w:pPr>
    </w:p>
    <w:p>
      <w:pPr>
        <w:pStyle w:val="BodyText"/>
        <w:spacing w:line="247" w:lineRule="auto"/>
        <w:ind w:left="137" w:right="112" w:firstLine="226"/>
        <w:jc w:val="both"/>
      </w:pPr>
      <w:r>
        <w:rPr/>
        <w:t>No</w:t>
      </w:r>
      <w:r>
        <w:rPr>
          <w:spacing w:val="-11"/>
        </w:rPr>
        <w:t> </w:t>
      </w:r>
      <w:r>
        <w:rPr/>
        <w:t>início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ano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2020,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mundo</w:t>
      </w:r>
      <w:r>
        <w:rPr>
          <w:spacing w:val="-10"/>
        </w:rPr>
        <w:t> </w:t>
      </w:r>
      <w:r>
        <w:rPr/>
        <w:t>foi</w:t>
      </w:r>
      <w:r>
        <w:rPr>
          <w:spacing w:val="-11"/>
        </w:rPr>
        <w:t> </w:t>
      </w:r>
      <w:r>
        <w:rPr/>
        <w:t>surpreendido</w:t>
      </w:r>
      <w:r>
        <w:rPr>
          <w:spacing w:val="-11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notícia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uma</w:t>
      </w:r>
      <w:r>
        <w:rPr>
          <w:spacing w:val="-10"/>
        </w:rPr>
        <w:t> </w:t>
      </w:r>
      <w:r>
        <w:rPr/>
        <w:t>epidemia</w:t>
      </w:r>
      <w:r>
        <w:rPr>
          <w:spacing w:val="-11"/>
        </w:rPr>
        <w:t> </w:t>
      </w:r>
      <w:r>
        <w:rPr/>
        <w:t>denominada Coronavírus (Covid-19) iniciada na China e atingiu vários países ao redor do mundo, visto que, os efeitos</w:t>
      </w:r>
      <w:r>
        <w:rPr>
          <w:spacing w:val="-23"/>
        </w:rPr>
        <w:t> </w:t>
      </w:r>
      <w:r>
        <w:rPr/>
        <w:t>abrangem</w:t>
      </w:r>
      <w:r>
        <w:rPr>
          <w:spacing w:val="-22"/>
        </w:rPr>
        <w:t> </w:t>
      </w:r>
      <w:r>
        <w:rPr/>
        <w:t>diversos</w:t>
      </w:r>
      <w:r>
        <w:rPr>
          <w:spacing w:val="-22"/>
        </w:rPr>
        <w:t> </w:t>
      </w:r>
      <w:r>
        <w:rPr/>
        <w:t>segmentos</w:t>
      </w:r>
      <w:r>
        <w:rPr>
          <w:spacing w:val="-22"/>
        </w:rPr>
        <w:t> </w:t>
      </w:r>
      <w:r>
        <w:rPr/>
        <w:t>da</w:t>
      </w:r>
      <w:r>
        <w:rPr>
          <w:spacing w:val="-22"/>
        </w:rPr>
        <w:t> </w:t>
      </w:r>
      <w:r>
        <w:rPr/>
        <w:t>economia</w:t>
      </w:r>
      <w:r>
        <w:rPr>
          <w:spacing w:val="-22"/>
        </w:rPr>
        <w:t> </w:t>
      </w:r>
      <w:r>
        <w:rPr/>
        <w:t>global,</w:t>
      </w:r>
      <w:r>
        <w:rPr>
          <w:spacing w:val="-22"/>
        </w:rPr>
        <w:t> </w:t>
      </w:r>
      <w:r>
        <w:rPr/>
        <w:t>tais</w:t>
      </w:r>
      <w:r>
        <w:rPr>
          <w:spacing w:val="-22"/>
        </w:rPr>
        <w:t> </w:t>
      </w:r>
      <w:r>
        <w:rPr/>
        <w:t>como:</w:t>
      </w:r>
      <w:r>
        <w:rPr>
          <w:spacing w:val="-23"/>
        </w:rPr>
        <w:t> </w:t>
      </w:r>
      <w:r>
        <w:rPr/>
        <w:t>comércio,</w:t>
      </w:r>
      <w:r>
        <w:rPr>
          <w:spacing w:val="-22"/>
        </w:rPr>
        <w:t> </w:t>
      </w:r>
      <w:r>
        <w:rPr/>
        <w:t>indústria,</w:t>
      </w:r>
      <w:r>
        <w:rPr>
          <w:spacing w:val="-22"/>
        </w:rPr>
        <w:t> </w:t>
      </w:r>
      <w:r>
        <w:rPr/>
        <w:t>serviços, turismo, entre outros, ocasionando uma desaceleração da economia mundial, especialmente nos países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dependem</w:t>
      </w:r>
      <w:r>
        <w:rPr>
          <w:spacing w:val="-10"/>
        </w:rPr>
        <w:t> </w:t>
      </w:r>
      <w:r>
        <w:rPr/>
        <w:t>das</w:t>
      </w:r>
      <w:r>
        <w:rPr>
          <w:spacing w:val="-11"/>
        </w:rPr>
        <w:t> </w:t>
      </w:r>
      <w:r>
        <w:rPr/>
        <w:t>exportações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China,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Brasil.</w:t>
      </w:r>
      <w:r>
        <w:rPr>
          <w:spacing w:val="-10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noticiado</w:t>
      </w:r>
      <w:r>
        <w:rPr>
          <w:spacing w:val="-11"/>
        </w:rPr>
        <w:t> </w:t>
      </w:r>
      <w:r>
        <w:rPr/>
        <w:t>pelo</w:t>
      </w:r>
      <w:r>
        <w:rPr>
          <w:spacing w:val="-10"/>
        </w:rPr>
        <w:t> </w:t>
      </w:r>
      <w:r>
        <w:rPr/>
        <w:t>Banco Central do Brasil – BACEN e pela B3 S.A (Brasil, Bolsa, Balcão), os impactos econômicos poderão ser incertos caso tal epidemia se prolongue por muito</w:t>
      </w:r>
      <w:r>
        <w:rPr>
          <w:spacing w:val="-7"/>
        </w:rPr>
        <w:t> </w:t>
      </w:r>
      <w:r>
        <w:rPr/>
        <w:t>tempo.</w:t>
      </w:r>
    </w:p>
    <w:p>
      <w:pPr>
        <w:pStyle w:val="BodyText"/>
        <w:spacing w:line="242" w:lineRule="auto" w:before="144"/>
        <w:ind w:left="137" w:right="113" w:firstLine="226"/>
        <w:jc w:val="both"/>
      </w:pPr>
      <w:r>
        <w:rPr/>
        <w:t>Em</w:t>
      </w:r>
      <w:r>
        <w:rPr>
          <w:spacing w:val="-26"/>
        </w:rPr>
        <w:t> </w:t>
      </w:r>
      <w:r>
        <w:rPr/>
        <w:t>31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dezembro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2019,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4"/>
        </w:rPr>
        <w:t>Hemobrás</w:t>
      </w:r>
      <w:r>
        <w:rPr>
          <w:spacing w:val="-25"/>
        </w:rPr>
        <w:t> </w:t>
      </w:r>
      <w:r>
        <w:rPr>
          <w:spacing w:val="-3"/>
        </w:rPr>
        <w:t>possui</w:t>
      </w:r>
      <w:r>
        <w:rPr>
          <w:spacing w:val="-25"/>
        </w:rPr>
        <w:t> </w:t>
      </w:r>
      <w:r>
        <w:rPr>
          <w:spacing w:val="-3"/>
        </w:rPr>
        <w:t>passivos</w:t>
      </w:r>
      <w:r>
        <w:rPr>
          <w:spacing w:val="-25"/>
        </w:rPr>
        <w:t> </w:t>
      </w:r>
      <w:r>
        <w:rPr/>
        <w:t>com</w:t>
      </w:r>
      <w:r>
        <w:rPr>
          <w:spacing w:val="-26"/>
        </w:rPr>
        <w:t> </w:t>
      </w:r>
      <w:r>
        <w:rPr>
          <w:spacing w:val="-3"/>
        </w:rPr>
        <w:t>fornecedores</w:t>
      </w:r>
      <w:r>
        <w:rPr>
          <w:spacing w:val="-25"/>
        </w:rPr>
        <w:t> </w:t>
      </w:r>
      <w:r>
        <w:rPr/>
        <w:t>em</w:t>
      </w:r>
      <w:r>
        <w:rPr>
          <w:spacing w:val="-25"/>
        </w:rPr>
        <w:t> </w:t>
      </w:r>
      <w:r>
        <w:rPr>
          <w:spacing w:val="-3"/>
        </w:rPr>
        <w:t>moeda</w:t>
      </w:r>
      <w:r>
        <w:rPr>
          <w:spacing w:val="-25"/>
        </w:rPr>
        <w:t> </w:t>
      </w:r>
      <w:r>
        <w:rPr>
          <w:spacing w:val="-4"/>
        </w:rPr>
        <w:t>estrangeira </w:t>
      </w:r>
      <w:r>
        <w:rPr/>
        <w:t>(dólar) que não estão protegidos por mecanismos de </w:t>
      </w:r>
      <w:r>
        <w:rPr>
          <w:rFonts w:ascii="Roboto" w:hAnsi="Roboto"/>
          <w:i/>
        </w:rPr>
        <w:t>hedge accounting</w:t>
      </w:r>
      <w:r>
        <w:rPr/>
        <w:t>, de modo a mitigar riscos de perdas cambiais. A Administração tem conhecimento dos possíveis efeitos decorrentes da ausência de proteção e, para se resguardar, vem buscando junto a União e ao mercado soluções para minimizar os impactos financeiros decorrentes da volatilidade</w:t>
      </w:r>
      <w:r>
        <w:rPr>
          <w:spacing w:val="-14"/>
        </w:rPr>
        <w:t> </w:t>
      </w:r>
      <w:r>
        <w:rPr/>
        <w:t>cambial.</w:t>
      </w:r>
    </w:p>
    <w:p>
      <w:pPr>
        <w:spacing w:after="0" w:line="242" w:lineRule="auto"/>
        <w:jc w:val="both"/>
        <w:sectPr>
          <w:pgSz w:w="11910" w:h="16840"/>
          <w:pgMar w:header="593" w:footer="546" w:top="1280" w:bottom="740" w:left="1280" w:right="1300"/>
        </w:sectPr>
      </w:pPr>
    </w:p>
    <w:p>
      <w:pPr>
        <w:spacing w:before="48"/>
        <w:ind w:left="137" w:right="0" w:firstLine="0"/>
        <w:jc w:val="left"/>
        <w:rPr>
          <w:rFonts w:ascii="Roboto"/>
          <w:b w:val="0"/>
          <w:sz w:val="24"/>
        </w:rPr>
      </w:pPr>
      <w:r>
        <w:rPr/>
        <w:pict>
          <v:rect style="position:absolute;margin-left:0pt;margin-top:694.488037pt;width:595.275pt;height:18.426pt;mso-position-horizontal-relative:page;mso-position-vertical-relative:page;z-index:-17063424" filled="true" fillcolor="#883130" stroked="false">
            <v:fill type="solid"/>
            <w10:wrap type="none"/>
          </v:rect>
        </w:pict>
      </w:r>
      <w:r>
        <w:rPr>
          <w:rFonts w:ascii="Roboto"/>
          <w:b w:val="0"/>
          <w:color w:val="873130"/>
          <w:sz w:val="24"/>
        </w:rPr>
        <w:t>EXPEDIENTE</w:t>
      </w:r>
    </w:p>
    <w:p>
      <w:pPr>
        <w:pStyle w:val="BodyText"/>
        <w:spacing w:before="7"/>
        <w:rPr>
          <w:rFonts w:ascii="Roboto"/>
          <w:b w:val="0"/>
          <w:sz w:val="20"/>
        </w:rPr>
      </w:pPr>
    </w:p>
    <w:p>
      <w:pPr>
        <w:spacing w:before="0"/>
        <w:ind w:left="13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Coordenação Geral Hemobrás</w:t>
      </w:r>
    </w:p>
    <w:p>
      <w:pPr>
        <w:spacing w:line="309" w:lineRule="auto" w:before="66"/>
        <w:ind w:left="137" w:right="298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Assessoria de Comunicação, Marketing e Eventos - ASCOM </w:t>
      </w:r>
      <w:r>
        <w:rPr>
          <w:rFonts w:ascii="Arial" w:hAnsi="Arial"/>
          <w:w w:val="105"/>
          <w:sz w:val="20"/>
        </w:rPr>
        <w:t>Gerência de Administração - GA</w:t>
      </w:r>
    </w:p>
    <w:p>
      <w:pPr>
        <w:spacing w:line="309" w:lineRule="auto" w:before="0"/>
        <w:ind w:left="137" w:right="2795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Gerência</w:t>
      </w:r>
      <w:r>
        <w:rPr>
          <w:rFonts w:ascii="Arial" w:hAnsi="Arial"/>
          <w:spacing w:val="-18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z w:val="20"/>
        </w:rPr>
        <w:t>Conformidade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z w:val="20"/>
        </w:rPr>
        <w:t>e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z w:val="20"/>
        </w:rPr>
        <w:t>Gerenciamento</w:t>
      </w:r>
      <w:r>
        <w:rPr>
          <w:rFonts w:ascii="Arial" w:hAnsi="Arial"/>
          <w:spacing w:val="-18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z w:val="20"/>
        </w:rPr>
        <w:t>Riscos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pacing w:val="-16"/>
          <w:sz w:val="20"/>
        </w:rPr>
        <w:t> </w:t>
      </w:r>
      <w:r>
        <w:rPr>
          <w:rFonts w:ascii="Arial" w:hAnsi="Arial"/>
          <w:sz w:val="20"/>
        </w:rPr>
        <w:t>GCGR </w:t>
      </w:r>
      <w:r>
        <w:rPr>
          <w:rFonts w:ascii="Arial" w:hAnsi="Arial"/>
          <w:w w:val="105"/>
          <w:sz w:val="20"/>
        </w:rPr>
        <w:t>Gerencia</w:t>
      </w:r>
      <w:r>
        <w:rPr>
          <w:rFonts w:ascii="Arial" w:hAnsi="Arial"/>
          <w:spacing w:val="-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de</w:t>
      </w:r>
      <w:r>
        <w:rPr>
          <w:rFonts w:ascii="Arial" w:hAnsi="Arial"/>
          <w:spacing w:val="-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Planejamento</w:t>
      </w:r>
      <w:r>
        <w:rPr>
          <w:rFonts w:ascii="Arial" w:hAnsi="Arial"/>
          <w:spacing w:val="-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e</w:t>
      </w:r>
      <w:r>
        <w:rPr>
          <w:rFonts w:ascii="Arial" w:hAnsi="Arial"/>
          <w:spacing w:val="-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Projetos</w:t>
      </w:r>
      <w:r>
        <w:rPr>
          <w:rFonts w:ascii="Arial" w:hAnsi="Arial"/>
          <w:spacing w:val="-14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-</w:t>
      </w:r>
      <w:r>
        <w:rPr>
          <w:rFonts w:ascii="Arial" w:hAnsi="Arial"/>
          <w:spacing w:val="-13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GPP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before="76"/>
        <w:ind w:left="140" w:right="0" w:firstLine="0"/>
        <w:jc w:val="left"/>
        <w:rPr>
          <w:rFonts w:ascii="Roboto" w:hAnsi="Roboto"/>
          <w:b w:val="0"/>
          <w:sz w:val="20"/>
        </w:rPr>
      </w:pPr>
      <w:r>
        <w:rPr>
          <w:rFonts w:ascii="Roboto" w:hAnsi="Roboto"/>
          <w:b w:val="0"/>
          <w:color w:val="883130"/>
          <w:sz w:val="20"/>
        </w:rPr>
        <w:t>PRODUÇÃO EDITORIAL</w:t>
      </w:r>
    </w:p>
    <w:p>
      <w:pPr>
        <w:spacing w:before="55"/>
        <w:ind w:left="13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Tikinet Edição</w:t>
      </w:r>
    </w:p>
    <w:p>
      <w:pPr>
        <w:pStyle w:val="BodyText"/>
        <w:spacing w:before="5"/>
        <w:rPr>
          <w:rFonts w:ascii="Arial"/>
          <w:sz w:val="30"/>
        </w:rPr>
      </w:pPr>
    </w:p>
    <w:p>
      <w:pPr>
        <w:spacing w:before="0"/>
        <w:ind w:left="13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Revisão</w:t>
      </w:r>
    </w:p>
    <w:p>
      <w:pPr>
        <w:spacing w:before="8"/>
        <w:ind w:left="137" w:right="0" w:firstLine="0"/>
        <w:jc w:val="left"/>
        <w:rPr>
          <w:sz w:val="20"/>
        </w:rPr>
      </w:pPr>
      <w:r>
        <w:rPr>
          <w:sz w:val="20"/>
        </w:rPr>
        <w:t>Isabella Ribeiro | Tikinet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137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Projeto Gráfico e Diagramação</w:t>
      </w:r>
    </w:p>
    <w:p>
      <w:pPr>
        <w:spacing w:before="6"/>
        <w:ind w:left="137" w:right="0" w:firstLine="0"/>
        <w:jc w:val="left"/>
        <w:rPr>
          <w:sz w:val="20"/>
        </w:rPr>
      </w:pPr>
      <w:r>
        <w:rPr>
          <w:sz w:val="20"/>
        </w:rPr>
        <w:t>Natalia Bae | Tikinet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75"/>
        <w:ind w:left="3184" w:right="3634"/>
        <w:jc w:val="center"/>
        <w:rPr>
          <w:rFonts w:ascii="Roboto"/>
          <w:b w:val="0"/>
        </w:rPr>
      </w:pPr>
      <w:r>
        <w:rPr>
          <w:rFonts w:ascii="Roboto"/>
          <w:b w:val="0"/>
        </w:rPr>
        <w:t>Entre em contato conosco</w:t>
      </w:r>
    </w:p>
    <w:p>
      <w:pPr>
        <w:pStyle w:val="BodyText"/>
        <w:spacing w:line="350" w:lineRule="auto" w:before="117"/>
        <w:ind w:left="3611" w:right="2795" w:hanging="356"/>
      </w:pPr>
      <w:r>
        <w:rPr/>
        <w:drawing>
          <wp:anchor distT="0" distB="0" distL="0" distR="0" allowOverlap="1" layoutInCell="1" locked="0" behindDoc="1" simplePos="0" relativeHeight="486252544">
            <wp:simplePos x="0" y="0"/>
            <wp:positionH relativeFrom="page">
              <wp:posOffset>2880246</wp:posOffset>
            </wp:positionH>
            <wp:positionV relativeFrom="paragraph">
              <wp:posOffset>302222</wp:posOffset>
            </wp:positionV>
            <wp:extent cx="161542" cy="171695"/>
            <wp:effectExtent l="0" t="0" r="0" b="0"/>
            <wp:wrapNone/>
            <wp:docPr id="6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2" cy="17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69798" cy="129336"/>
            <wp:effectExtent l="0" t="0" r="0" b="0"/>
            <wp:docPr id="6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8" cy="12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4"/>
          <w:sz w:val="20"/>
        </w:rPr>
        <w:t> </w:t>
      </w:r>
      <w:hyperlink r:id="rId61">
        <w:r>
          <w:rPr>
            <w:spacing w:val="-6"/>
          </w:rPr>
          <w:t>ouvidoria@hemobras.gov.br</w:t>
        </w:r>
      </w:hyperlink>
      <w:r>
        <w:rPr>
          <w:spacing w:val="-6"/>
        </w:rPr>
        <w:t> </w:t>
      </w:r>
      <w:r>
        <w:rPr>
          <w:spacing w:val="-5"/>
        </w:rPr>
        <w:t>08002800477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222.992004pt;margin-top:12.580387pt;width:5.8pt;height:21.6pt;mso-position-horizontal-relative:page;mso-position-vertical-relative:paragraph;z-index:-15691776;mso-wrap-distance-left:0;mso-wrap-distance-right:0" coordorigin="4460,252" coordsize="116,432" path="m4530,252l4505,252,4488,255,4473,265,4464,279,4460,297,4460,638,4464,656,4473,670,4488,680,4505,683,4530,683,4547,680,4562,670,4572,656,4575,638,4575,297,4572,279,4562,265,4547,255,4530,252xe" filled="true" fillcolor="#88313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2.414001pt;margin-top:12.580287pt;width:8.35pt;height:21.6pt;mso-position-horizontal-relative:page;mso-position-vertical-relative:paragraph;z-index:-15691264;mso-wrap-distance-left:0;mso-wrap-distance-right:0" coordorigin="4648,252" coordsize="167,432">
            <v:shape style="position:absolute;left:4648;top:251;width:167;height:191" type="#_x0000_t75" stroked="false">
              <v:imagedata r:id="rId13" o:title=""/>
            </v:shape>
            <v:shape style="position:absolute;left:4648;top:492;width:167;height:191" type="#_x0000_t75" stroked="false">
              <v:imagedata r:id="rId14" o:title=""/>
            </v:shape>
            <w10:wrap type="topAndBottom"/>
          </v:group>
        </w:pict>
      </w:r>
      <w:r>
        <w:rPr/>
        <w:pict>
          <v:shape style="position:absolute;margin-left:244.380997pt;margin-top:12.580387pt;width:5.8pt;height:21.6pt;mso-position-horizontal-relative:page;mso-position-vertical-relative:paragraph;z-index:-15690752;mso-wrap-distance-left:0;mso-wrap-distance-right:0" coordorigin="4888,252" coordsize="116,432" path="m4957,252l4933,252,4916,255,4901,265,4891,279,4888,297,4888,638,4891,656,4901,670,4916,680,4933,683,4957,683,4975,680,4990,670,4999,656,5003,638,5003,297,4999,279,4990,265,4975,255,4957,252xe" filled="true" fillcolor="#aa9a9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5.501007pt;margin-top:12.549087pt;width:116.8pt;height:21.9pt;mso-position-horizontal-relative:page;mso-position-vertical-relative:paragraph;z-index:-15690240;mso-wrap-distance-left:0;mso-wrap-distance-right:0" coordorigin="5110,251" coordsize="2336,438">
            <v:shape style="position:absolute;left:5110;top:251;width:1341;height:436" coordorigin="5110,252" coordsize="1341,436" path="m5417,252l5343,252,5343,418,5184,418,5184,252,5110,252,5110,418,5110,492,5110,682,5184,682,5184,492,5343,492,5343,682,5417,682,5417,492,5417,418,5417,252xm5724,547l5719,519,5713,492,5701,474,5683,448,5651,426,5651,519,5517,519,5528,501,5543,487,5562,478,5584,474,5605,478,5625,487,5640,501,5651,519,5651,426,5639,418,5584,406,5529,418,5485,448,5454,492,5443,547,5454,602,5485,646,5529,676,5584,687,5626,681,5663,663,5693,635,5702,620,5714,600,5634,600,5623,608,5611,614,5598,618,5584,620,5562,616,5542,606,5526,591,5516,572,5565,572,5565,572,5722,572,5724,564,5724,555,5724,547xm6148,680l6147,520,6138,475,6112,438,6075,413,6029,403,6006,406,5985,412,5965,422,5948,436,5931,422,5911,412,5890,406,5867,404,5822,413,5784,438,5759,475,5749,521,5749,681,5824,681,5824,521,5827,504,5837,491,5851,482,5867,478,5884,481,5897,490,5907,503,5911,521,5911,681,5986,681,5985,519,5990,503,5999,490,6013,481,6029,478,6046,481,6059,490,6069,504,6073,520,6072,681,6148,680xm6451,543l6440,488,6428,470,6410,444,6383,425,6383,543,6377,571,6362,594,6338,610,6310,615,6282,610,6259,594,6243,571,6238,543,6243,515,6259,492,6282,476,6310,470,6338,476,6362,492,6377,515,6383,543,6383,425,6365,413,6310,402,6255,413,6211,444,6181,488,6170,543,6181,598,6211,642,6255,672,6310,683,6365,672,6410,642,6428,615,6440,598,6451,543xe" filled="true" fillcolor="#883130" stroked="false">
              <v:path arrowok="t"/>
              <v:fill type="solid"/>
            </v:shape>
            <v:shape style="position:absolute;left:6778;top:403;width:119;height:277" type="#_x0000_t75" stroked="false">
              <v:imagedata r:id="rId15" o:title=""/>
            </v:shape>
            <v:shape style="position:absolute;left:6472;top:251;width:685;height:437" coordorigin="6473,251" coordsize="685,437" path="m6754,547l6743,492,6731,474,6713,448,6686,430,6686,547,6681,575,6665,598,6642,614,6614,620,6586,614,6562,598,6547,575,6541,547,6542,541,6547,519,6562,496,6586,480,6614,474,6642,480,6665,496,6681,519,6686,547,6686,430,6677,424,6668,418,6614,406,6596,408,6579,411,6562,416,6547,424,6547,251,6473,251,6473,542,6474,541,6473,543,6473,545,6473,547,6484,602,6514,646,6559,676,6614,687,6668,676,6713,646,6731,620,6743,602,6754,547xm7157,322l7089,322,7051,381,7098,381,7157,322xe" filled="true" fillcolor="#883130" stroked="false">
              <v:path arrowok="t"/>
              <v:fill type="solid"/>
            </v:shape>
            <v:shape style="position:absolute;left:7223;top:405;width:222;height:284" type="#_x0000_t75" stroked="false">
              <v:imagedata r:id="rId16" o:title=""/>
            </v:shape>
            <v:shape style="position:absolute;left:6912;top:405;width:282;height:282" type="#_x0000_t75" stroked="false">
              <v:imagedata r:id="rId17" o:title=""/>
            </v:shape>
            <w10:wrap type="topAndBottom"/>
          </v:group>
        </w:pict>
      </w:r>
    </w:p>
    <w:sectPr>
      <w:headerReference w:type="default" r:id="rId57"/>
      <w:footerReference w:type="default" r:id="rId58"/>
      <w:pgSz w:w="11910" w:h="16840"/>
      <w:pgMar w:header="0" w:footer="0" w:top="1280" w:bottom="280" w:left="128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">
    <w:altName w:val="Roboto"/>
    <w:charset w:val="0"/>
    <w:family w:val="auto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RobotoRegular">
    <w:altName w:val="RobotoRegular"/>
    <w:charset w:val="0"/>
    <w:family w:val="auto"/>
    <w:pitch w:val="variable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323029pt;margin-top:805.322998pt;width:42.1pt;height:7.9pt;mso-position-horizontal-relative:page;mso-position-vertical-relative:page;z-index:-17101824" coordorigin="9646,16106" coordsize="842,158" path="m9757,16107l9730,16107,9730,16166,9673,16166,9673,16107,9646,16107,9646,16261,9673,16261,9673,16193,9730,16193,9730,16261,9757,16261,9757,16107xm9868,16213l9866,16203,9864,16193,9860,16187,9853,16177,9841,16169,9841,16203,9793,16203,9797,16194,9806,16187,9828,16187,9837,16194,9841,16203,9841,16169,9837,16166,9817,16162,9798,16166,9781,16177,9771,16193,9767,16213,9771,16233,9781,16249,9798,16260,9817,16264,9832,16261,9846,16255,9857,16245,9860,16239,9864,16232,9835,16232,9831,16237,9824,16239,9806,16239,9796,16232,9793,16222,9810,16222,9810,16222,9867,16222,9868,16219,9868,16216,9868,16213xm10020,16261l10020,16204,10017,16187,10008,16174,9994,16165,9978,16161,9966,16161,9956,16166,9948,16173,9941,16166,9931,16162,9919,16162,9903,16165,9889,16174,9880,16187,9877,16204,9877,16262,9904,16262,9904,16204,9904,16195,9911,16188,9928,16188,9935,16195,9935,16204,9935,16261,9962,16261,9962,16203,9962,16195,9969,16188,9986,16188,9993,16195,9993,16204,9993,16261,10020,16261xm10130,16212l10126,16192,10121,16185,10115,16176,10105,16169,10105,16197,10105,16226,10093,16238,10065,16238,10053,16226,10053,16197,10065,16185,10093,16185,10105,16197,10105,16169,10099,16165,10079,16161,10059,16165,10043,16176,10032,16192,10028,16212,10032,16231,10043,16247,10059,16258,10079,16262,10099,16258,10115,16247,10121,16238,10126,16231,10130,16212xm10239,16213l10235,16193,10231,16187,10224,16177,10215,16171,10215,16199,10215,16228,10203,16239,10174,16239,10162,16228,10162,16211,10162,16199,10174,16187,10203,16187,10215,16199,10215,16171,10211,16169,10208,16166,10188,16162,10180,16162,10171,16165,10164,16169,10164,16106,10138,16106,10138,16211,10138,16211,10138,16213,10142,16233,10153,16249,10169,16260,10188,16264,10208,16260,10224,16249,10231,16239,10235,16233,10239,16213xm10290,16162l10274,16165,10260,16174,10251,16187,10248,16204,10248,16261,10275,16261,10275,16204,10275,16195,10282,16188,10290,16188,10290,16162xm10384,16132l10360,16132,10346,16153,10363,16153,10384,16132xm10398,16262l10398,16256,10398,16239,10398,16215,10398,16215,10397,16215,10397,16213,10393,16193,10389,16187,10383,16177,10373,16171,10373,16198,10373,16227,10361,16239,10332,16239,10321,16227,10321,16198,10332,16187,10361,16187,10373,16198,10373,16171,10367,16166,10347,16162,10327,16166,10311,16177,10300,16193,10296,16213,10300,16233,10311,16249,10327,16260,10347,16264,10357,16264,10366,16261,10373,16256,10373,16262,10398,16262xm10488,16232l10486,16221,10479,16212,10469,16206,10456,16202,10439,16198,10437,16196,10437,16187,10441,16184,10455,16184,10463,16187,10473,16194,10486,16176,10474,16166,10462,16162,10448,16162,10434,16164,10423,16171,10415,16180,10413,16193,10415,16206,10422,16214,10433,16220,10446,16224,10463,16228,10464,16231,10464,16239,10459,16242,10442,16242,10433,16239,10423,16230,10408,16247,10419,16255,10429,16260,10440,16263,10451,16264,10467,16262,10478,16256,10486,16246,10488,16232xe" filled="true" fillcolor="#88313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215168">
          <wp:simplePos x="0" y="0"/>
          <wp:positionH relativeFrom="page">
            <wp:posOffset>5976759</wp:posOffset>
          </wp:positionH>
          <wp:positionV relativeFrom="page">
            <wp:posOffset>10227743</wp:posOffset>
          </wp:positionV>
          <wp:extent cx="124244" cy="98821"/>
          <wp:effectExtent l="0" t="0" r="0" b="0"/>
          <wp:wrapNone/>
          <wp:docPr id="1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244" cy="98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87.931pt;margin-top:808.15802pt;width:377.688pt;height:.917pt;mso-position-horizontal-relative:page;mso-position-vertical-relative:page;z-index:-17100800" filled="true" fillcolor="#883130" stroked="false">
          <v:fill type="solid"/>
          <w10:wrap type="none"/>
        </v:rect>
      </w:pict>
    </w:r>
    <w:r>
      <w:rPr/>
      <w:pict>
        <v:shape style="position:absolute;margin-left:66.618896pt;margin-top:803.586243pt;width:10.5pt;height:11.4pt;mso-position-horizontal-relative:page;mso-position-vertical-relative:page;z-index:-1710028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203pt;margin-top:559.523132pt;width:6.5pt;height:11.4pt;mso-position-horizontal-relative:page;mso-position-vertical-relative:page;z-index:-170997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323029pt;margin-top:805.324036pt;width:42.1pt;height:7.9pt;mso-position-horizontal-relative:page;mso-position-vertical-relative:page;z-index:-17098752" coordorigin="9646,16106" coordsize="842,158" path="m9757,16107l9730,16107,9730,16166,9673,16166,9673,16107,9646,16107,9646,16261,9673,16261,9673,16193,9730,16193,9730,16261,9757,16261,9757,16107xm9868,16213l9866,16203,9864,16193,9860,16187,9853,16177,9841,16169,9841,16203,9793,16203,9797,16194,9806,16187,9828,16187,9837,16194,9841,16203,9841,16169,9837,16166,9817,16163,9798,16166,9781,16177,9771,16193,9767,16213,9771,16233,9781,16249,9798,16260,9817,16264,9832,16261,9846,16255,9857,16245,9860,16239,9864,16232,9835,16232,9831,16237,9824,16239,9806,16239,9796,16232,9793,16222,9810,16222,9810,16222,9867,16222,9868,16219,9868,16216,9868,16213xm10020,16261l10020,16204,10017,16187,10008,16174,9994,16165,9978,16161,9966,16161,9956,16166,9948,16173,9941,16166,9931,16162,9919,16162,9903,16165,9889,16174,9880,16187,9877,16204,9877,16262,9904,16262,9904,16204,9904,16195,9911,16188,9928,16188,9935,16195,9935,16204,9935,16261,9962,16261,9962,16203,9962,16195,9969,16188,9986,16188,9993,16195,9993,16204,9993,16261,10020,16261xm10130,16212l10126,16192,10121,16186,10115,16176,10105,16169,10105,16197,10105,16226,10093,16238,10065,16238,10053,16226,10053,16197,10065,16186,10093,16186,10105,16197,10105,16169,10099,16165,10079,16161,10059,16165,10043,16176,10032,16192,10028,16212,10032,16231,10043,16247,10059,16258,10079,16262,10099,16258,10115,16247,10121,16238,10126,16231,10130,16212xm10239,16213l10235,16193,10231,16187,10224,16177,10215,16171,10215,16199,10215,16228,10203,16239,10174,16239,10162,16228,10162,16211,10162,16199,10174,16187,10203,16187,10215,16199,10215,16171,10211,16169,10208,16166,10188,16163,10180,16163,10171,16165,10164,16169,10164,16106,10138,16106,10138,16211,10138,16211,10138,16213,10142,16233,10153,16249,10169,16260,10188,16264,10208,16260,10224,16249,10231,16239,10235,16233,10239,16213xm10290,16162l10274,16165,10260,16174,10251,16187,10248,16204,10248,16261,10275,16261,10275,16204,10275,16195,10282,16188,10290,16188,10290,16162xm10384,16132l10360,16132,10346,16154,10363,16153,10384,16132xm10398,16262l10398,16256,10398,16239,10398,16215,10398,16215,10397,16215,10397,16213,10393,16193,10389,16187,10383,16177,10373,16171,10373,16198,10373,16227,10361,16239,10332,16239,10321,16227,10321,16198,10332,16187,10361,16187,10373,16198,10373,16171,10367,16166,10347,16162,10327,16166,10311,16177,10300,16193,10296,16213,10300,16233,10311,16249,10327,16260,10347,16264,10357,16264,10366,16261,10373,16256,10373,16262,10398,16262xm10488,16232l10486,16221,10479,16212,10469,16206,10456,16202,10439,16198,10437,16196,10437,16187,10441,16184,10455,16184,10463,16187,10473,16194,10486,16176,10474,16166,10462,16162,10448,16162,10434,16164,10423,16171,10415,16180,10413,16193,10415,16206,10422,16214,10433,16220,10446,16224,10463,16228,10464,16231,10464,16239,10459,16242,10442,16242,10433,16239,10423,16230,10408,16247,10419,16255,10429,16260,10440,16263,10451,16264,10467,16262,10478,16256,10486,16246,10488,16232xe" filled="true" fillcolor="#88313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218240">
          <wp:simplePos x="0" y="0"/>
          <wp:positionH relativeFrom="page">
            <wp:posOffset>5976759</wp:posOffset>
          </wp:positionH>
          <wp:positionV relativeFrom="page">
            <wp:posOffset>10227743</wp:posOffset>
          </wp:positionV>
          <wp:extent cx="124244" cy="98821"/>
          <wp:effectExtent l="0" t="0" r="0" b="0"/>
          <wp:wrapNone/>
          <wp:docPr id="3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244" cy="98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87.931pt;margin-top:808.15802pt;width:377.688pt;height:.917pt;mso-position-horizontal-relative:page;mso-position-vertical-relative:page;z-index:-17097728" filled="true" fillcolor="#883130" stroked="false">
          <v:fill type="solid"/>
          <w10:wrap type="none"/>
        </v:rect>
      </w:pict>
    </w:r>
    <w:r>
      <w:rPr/>
      <w:pict>
        <v:shape style="position:absolute;margin-left:66.618896pt;margin-top:803.586243pt;width:15pt;height:11.4pt;mso-position-horizontal-relative:page;mso-position-vertical-relative:page;z-index:-1709721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5pt;width:595.275pt;height:694.488pt;mso-position-horizontal-relative:page;mso-position-vertical-relative:page;z-index:-17102848" filled="true" fillcolor="#f0f0f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448196pt;margin-top:28.670273pt;width:456.05pt;height:22.2pt;mso-position-horizontal-relative:page;mso-position-vertical-relative:page;z-index:-17102336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Arial" w:hAnsi="Arial"/>
                    <w:sz w:val="17"/>
                  </w:rPr>
                </w:pPr>
                <w:r>
                  <w:rPr>
                    <w:rFonts w:ascii="Roboto" w:hAnsi="Roboto"/>
                    <w:b w:val="0"/>
                    <w:color w:val="575756"/>
                    <w:sz w:val="17"/>
                  </w:rPr>
                  <w:t>NOTAS EXPLICATIVAS ÀS DEMONSTRAÇÕES CONTÁBEIS | </w:t>
                </w:r>
                <w:r>
                  <w:rPr>
                    <w:rFonts w:ascii="Arial" w:hAnsi="Arial"/>
                    <w:color w:val="575756"/>
                    <w:sz w:val="17"/>
                  </w:rPr>
                  <w:t>Exercícios findos em 31 de dezembro de 2019 e 2018</w:t>
                </w:r>
              </w:p>
              <w:p>
                <w:pPr>
                  <w:spacing w:line="195" w:lineRule="exact" w:before="0"/>
                  <w:ind w:left="0" w:right="18" w:firstLine="0"/>
                  <w:jc w:val="righ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575756"/>
                    <w:sz w:val="17"/>
                  </w:rPr>
                  <w:t>(Em reais, exceto quando indicado)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448196pt;margin-top:28.670273pt;width:456.05pt;height:22.2pt;mso-position-horizontal-relative:page;mso-position-vertical-relative:page;z-index:-17099264" type="#_x0000_t20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rFonts w:ascii="Arial" w:hAnsi="Arial"/>
                    <w:sz w:val="17"/>
                  </w:rPr>
                </w:pPr>
                <w:r>
                  <w:rPr>
                    <w:rFonts w:ascii="Roboto" w:hAnsi="Roboto"/>
                    <w:b w:val="0"/>
                    <w:color w:val="575756"/>
                    <w:sz w:val="17"/>
                  </w:rPr>
                  <w:t>NOTAS EXPLICATIVAS ÀS DEMONSTRAÇÕES CONTÁBEIS | </w:t>
                </w:r>
                <w:r>
                  <w:rPr>
                    <w:rFonts w:ascii="Arial" w:hAnsi="Arial"/>
                    <w:color w:val="575756"/>
                    <w:sz w:val="17"/>
                  </w:rPr>
                  <w:t>Exercícios findos em 31 de dezembro de 2019 e 2018</w:t>
                </w:r>
              </w:p>
              <w:p>
                <w:pPr>
                  <w:spacing w:line="195" w:lineRule="exact" w:before="0"/>
                  <w:ind w:left="0" w:right="18" w:firstLine="0"/>
                  <w:jc w:val="right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575756"/>
                    <w:sz w:val="17"/>
                  </w:rPr>
                  <w:t>(Em reais, exceto quando indicado)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•"/>
      <w:lvlJc w:val="left"/>
      <w:pPr>
        <w:ind w:left="647" w:hanging="284"/>
      </w:pPr>
      <w:rPr>
        <w:rFonts w:hint="default" w:ascii="Roboto" w:hAnsi="Roboto" w:eastAsia="Roboto" w:cs="Roboto"/>
        <w:color w:val="883130"/>
        <w:w w:val="100"/>
        <w:sz w:val="21"/>
        <w:szCs w:val="2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8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77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45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14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8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51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19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88" w:hanging="284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24"/>
      <w:numFmt w:val="decimal"/>
      <w:lvlText w:val="%1"/>
      <w:lvlJc w:val="left"/>
      <w:pPr>
        <w:ind w:left="684" w:hanging="547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84" w:hanging="547"/>
        <w:jc w:val="left"/>
      </w:pPr>
      <w:rPr>
        <w:rFonts w:hint="default" w:ascii="Roboto" w:hAnsi="Roboto" w:eastAsia="Roboto" w:cs="Roboto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09" w:hanging="5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73" w:hanging="5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38" w:hanging="5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02" w:hanging="5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67" w:hanging="5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31" w:hanging="5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96" w:hanging="547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22"/>
      <w:numFmt w:val="decimal"/>
      <w:lvlText w:val="%1"/>
      <w:lvlJc w:val="left"/>
      <w:pPr>
        <w:ind w:left="684" w:hanging="547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84" w:hanging="547"/>
        <w:jc w:val="left"/>
      </w:pPr>
      <w:rPr>
        <w:rFonts w:hint="default" w:ascii="Roboto" w:hAnsi="Roboto" w:eastAsia="Roboto" w:cs="Roboto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09" w:hanging="5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73" w:hanging="5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38" w:hanging="5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02" w:hanging="5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67" w:hanging="5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31" w:hanging="5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96" w:hanging="547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8"/>
      <w:numFmt w:val="decimal"/>
      <w:lvlText w:val="%1"/>
      <w:lvlJc w:val="left"/>
      <w:pPr>
        <w:ind w:left="683" w:hanging="547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83" w:hanging="547"/>
        <w:jc w:val="left"/>
      </w:pPr>
      <w:rPr>
        <w:rFonts w:hint="default" w:ascii="Roboto" w:hAnsi="Roboto" w:eastAsia="Roboto" w:cs="Roboto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09" w:hanging="5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73" w:hanging="5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38" w:hanging="5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02" w:hanging="5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67" w:hanging="5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31" w:hanging="5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96" w:hanging="54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1"/>
      <w:numFmt w:val="decimal"/>
      <w:lvlText w:val="%1"/>
      <w:lvlJc w:val="left"/>
      <w:pPr>
        <w:ind w:left="684" w:hanging="547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84" w:hanging="547"/>
        <w:jc w:val="left"/>
      </w:pPr>
      <w:rPr>
        <w:rFonts w:hint="default" w:ascii="Roboto" w:hAnsi="Roboto" w:eastAsia="Roboto" w:cs="Roboto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09" w:hanging="5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73" w:hanging="5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38" w:hanging="5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02" w:hanging="5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67" w:hanging="5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31" w:hanging="5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96" w:hanging="547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0"/>
      <w:numFmt w:val="decimal"/>
      <w:lvlText w:val="%1"/>
      <w:lvlJc w:val="left"/>
      <w:pPr>
        <w:ind w:left="684" w:hanging="547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84" w:hanging="547"/>
        <w:jc w:val="left"/>
      </w:pPr>
      <w:rPr>
        <w:rFonts w:hint="default" w:ascii="Roboto" w:hAnsi="Roboto" w:eastAsia="Roboto" w:cs="Roboto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09" w:hanging="5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73" w:hanging="5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38" w:hanging="5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02" w:hanging="5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67" w:hanging="5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31" w:hanging="5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96" w:hanging="547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9"/>
      <w:numFmt w:val="decimal"/>
      <w:lvlText w:val="%1"/>
      <w:lvlJc w:val="left"/>
      <w:pPr>
        <w:ind w:left="557" w:hanging="421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557" w:hanging="421"/>
        <w:jc w:val="left"/>
      </w:pPr>
      <w:rPr>
        <w:rFonts w:hint="default" w:ascii="Roboto" w:hAnsi="Roboto" w:eastAsia="Roboto" w:cs="Roboto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13" w:hanging="4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89" w:hanging="4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66" w:hanging="4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42" w:hanging="4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19" w:hanging="4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95" w:hanging="4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72" w:hanging="42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557" w:hanging="421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557" w:hanging="421"/>
        <w:jc w:val="left"/>
      </w:pPr>
      <w:rPr>
        <w:rFonts w:hint="default" w:ascii="Roboto" w:hAnsi="Roboto" w:eastAsia="Roboto" w:cs="Roboto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13" w:hanging="4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89" w:hanging="4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66" w:hanging="4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42" w:hanging="4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19" w:hanging="4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95" w:hanging="4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72" w:hanging="42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37" w:hanging="178"/>
      </w:pPr>
      <w:rPr>
        <w:rFonts w:hint="default" w:ascii="RobotoRegular" w:hAnsi="RobotoRegular" w:eastAsia="RobotoRegular" w:cs="RobotoRegular"/>
        <w:w w:val="99"/>
        <w:sz w:val="21"/>
        <w:szCs w:val="2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58" w:hanging="1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77" w:hanging="1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95" w:hanging="1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14" w:hanging="1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32" w:hanging="1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51" w:hanging="1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69" w:hanging="1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88" w:hanging="17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89" w:hanging="352"/>
        <w:jc w:val="left"/>
      </w:pPr>
      <w:rPr>
        <w:rFonts w:hint="default" w:ascii="Roboto" w:hAnsi="Roboto" w:eastAsia="Roboto" w:cs="Roboto"/>
        <w:color w:val="9D534E"/>
        <w:spacing w:val="-4"/>
        <w:w w:val="94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66" w:hanging="429"/>
        <w:jc w:val="left"/>
      </w:pPr>
      <w:rPr>
        <w:rFonts w:hint="default" w:ascii="Roboto" w:hAnsi="Roboto" w:eastAsia="Roboto" w:cs="Roboto"/>
        <w:color w:val="7C7B7B"/>
        <w:w w:val="98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47" w:hanging="284"/>
      </w:pPr>
      <w:rPr>
        <w:rFonts w:hint="default" w:ascii="Roboto" w:hAnsi="Roboto" w:eastAsia="Roboto" w:cs="Roboto"/>
        <w:color w:val="883130"/>
        <w:spacing w:val="-12"/>
        <w:w w:val="99"/>
        <w:sz w:val="21"/>
        <w:szCs w:val="21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00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3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64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396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28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61" w:hanging="284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Regular" w:hAnsi="RobotoRegular" w:eastAsia="RobotoRegular" w:cs="RobotoRegular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Regular" w:hAnsi="RobotoRegular" w:eastAsia="RobotoRegular" w:cs="RobotoRegular"/>
      <w:sz w:val="21"/>
      <w:szCs w:val="21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616" w:hanging="480"/>
      <w:outlineLvl w:val="1"/>
    </w:pPr>
    <w:rPr>
      <w:rFonts w:ascii="Roboto" w:hAnsi="Roboto" w:eastAsia="Roboto" w:cs="Roboto"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616" w:hanging="480"/>
    </w:pPr>
    <w:rPr>
      <w:rFonts w:ascii="Roboto" w:hAnsi="Roboto" w:eastAsia="Roboto" w:cs="Roboto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Black" w:hAnsi="Arial Black" w:eastAsia="Arial Black" w:cs="Arial Black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2.xml"/><Relationship Id="rId19" Type="http://schemas.openxmlformats.org/officeDocument/2006/relationships/header" Target="header3.xml"/><Relationship Id="rId20" Type="http://schemas.openxmlformats.org/officeDocument/2006/relationships/footer" Target="footer1.xml"/><Relationship Id="rId21" Type="http://schemas.openxmlformats.org/officeDocument/2006/relationships/header" Target="header4.xml"/><Relationship Id="rId22" Type="http://schemas.openxmlformats.org/officeDocument/2006/relationships/footer" Target="footer2.xml"/><Relationship Id="rId23" Type="http://schemas.openxmlformats.org/officeDocument/2006/relationships/image" Target="media/image14.png"/><Relationship Id="rId24" Type="http://schemas.openxmlformats.org/officeDocument/2006/relationships/header" Target="header5.xml"/><Relationship Id="rId25" Type="http://schemas.openxmlformats.org/officeDocument/2006/relationships/footer" Target="footer3.xml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header" Target="header6.xml"/><Relationship Id="rId58" Type="http://schemas.openxmlformats.org/officeDocument/2006/relationships/footer" Target="footer4.xml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hyperlink" Target="mailto:ouvidoria@hemobras.gov.br" TargetMode="External"/><Relationship Id="rId62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2022-04-12T15:29:32Z</dcterms:created>
  <dcterms:modified xsi:type="dcterms:W3CDTF">2022-04-12T15:29:32Z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PDFium</vt:lpwstr>
  </property>
  <property fmtid="{D5CDD505-2E9C-101B-9397-08002B2CF9AE}" pid="4" name="LastSaved">
    <vt:filetime>2022-04-12T00:00:00Z</vt:filetime>
  </property>
</Properties>
</file>